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10" w:firstLineChars="100"/>
        <w:rPr>
          <w:rFonts w:hint="eastAsia"/>
        </w:rPr>
      </w:pPr>
    </w:p>
    <w:p>
      <w:pPr>
        <w:ind w:firstLine="361" w:firstLineChars="100"/>
        <w:jc w:val="center"/>
        <w:rPr>
          <w:rFonts w:hint="eastAsia" w:asciiTheme="majorEastAsia" w:hAnsiTheme="majorEastAsia" w:eastAsiaTheme="majorEastAsia"/>
          <w:b/>
          <w:sz w:val="36"/>
          <w:szCs w:val="36"/>
        </w:rPr>
      </w:pPr>
      <w:r>
        <w:rPr>
          <w:rFonts w:hint="eastAsia" w:asciiTheme="majorEastAsia" w:hAnsiTheme="majorEastAsia" w:eastAsiaTheme="majorEastAsia"/>
          <w:b/>
          <w:sz w:val="36"/>
          <w:szCs w:val="36"/>
        </w:rPr>
        <w:t>国家林业重点龙头企业推选和管理</w:t>
      </w:r>
    </w:p>
    <w:p>
      <w:pPr>
        <w:ind w:firstLine="361" w:firstLineChars="100"/>
        <w:jc w:val="center"/>
        <w:rPr>
          <w:rFonts w:hint="eastAsia" w:asciiTheme="majorEastAsia" w:hAnsiTheme="majorEastAsia" w:eastAsiaTheme="majorEastAsia"/>
          <w:b/>
          <w:sz w:val="36"/>
          <w:szCs w:val="36"/>
        </w:rPr>
      </w:pPr>
      <w:r>
        <w:rPr>
          <w:rFonts w:hint="eastAsia" w:asciiTheme="majorEastAsia" w:hAnsiTheme="majorEastAsia" w:eastAsiaTheme="majorEastAsia"/>
          <w:b/>
          <w:sz w:val="36"/>
          <w:szCs w:val="36"/>
        </w:rPr>
        <w:t>工作实施方案（试行）</w:t>
      </w:r>
    </w:p>
    <w:p>
      <w:pPr>
        <w:ind w:firstLine="361" w:firstLineChars="100"/>
        <w:jc w:val="center"/>
        <w:rPr>
          <w:rFonts w:hint="eastAsia" w:asciiTheme="majorEastAsia" w:hAnsiTheme="majorEastAsia" w:eastAsiaTheme="majorEastAsia"/>
          <w:b/>
          <w:sz w:val="36"/>
          <w:szCs w:val="36"/>
        </w:rPr>
      </w:pPr>
    </w:p>
    <w:p>
      <w:pPr>
        <w:ind w:left="210"/>
        <w:jc w:val="center"/>
        <w:rPr>
          <w:rFonts w:hint="eastAsia"/>
          <w:b/>
        </w:rPr>
      </w:pPr>
    </w:p>
    <w:p>
      <w:pPr>
        <w:ind w:left="210"/>
        <w:jc w:val="center"/>
        <w:rPr>
          <w:rFonts w:hint="eastAsia"/>
          <w:b/>
        </w:rPr>
      </w:pPr>
    </w:p>
    <w:p>
      <w:pPr>
        <w:ind w:left="210"/>
        <w:jc w:val="center"/>
        <w:rPr>
          <w:rFonts w:hint="eastAsia" w:ascii="黑体" w:hAnsi="黑体" w:eastAsia="黑体"/>
          <w:sz w:val="32"/>
          <w:szCs w:val="32"/>
        </w:rPr>
      </w:pPr>
      <w:r>
        <w:rPr>
          <w:rFonts w:hint="eastAsia" w:ascii="黑体" w:hAnsi="黑体" w:eastAsia="黑体"/>
          <w:sz w:val="32"/>
          <w:szCs w:val="32"/>
        </w:rPr>
        <w:t>一、总则</w:t>
      </w:r>
    </w:p>
    <w:p>
      <w:pPr>
        <w:rPr>
          <w:rFonts w:hint="eastAsia"/>
        </w:rPr>
      </w:pPr>
    </w:p>
    <w:p>
      <w:pPr>
        <w:spacing w:line="580" w:lineRule="exact"/>
        <w:ind w:firstLine="320" w:firstLineChars="100"/>
        <w:rPr>
          <w:rFonts w:hint="eastAsia" w:ascii="仿宋" w:hAnsi="仿宋" w:eastAsia="仿宋"/>
          <w:sz w:val="32"/>
          <w:szCs w:val="32"/>
          <w:lang w:val="en-US" w:eastAsia="zh-CN"/>
        </w:rPr>
      </w:pPr>
      <w:r>
        <w:rPr>
          <w:rFonts w:hint="eastAsia" w:ascii="仿宋" w:hAnsi="仿宋" w:eastAsia="仿宋"/>
          <w:sz w:val="32"/>
          <w:szCs w:val="32"/>
        </w:rPr>
        <w:t>（－）为规范国家林业重点龙头企业的推荐、选定和管理，促进林业产业又好又快发展，根据《中共中央国务院关于加快林业发展的决定》和《国务院关于支持农业产业化龙头企业发展的意见》，制定本实施方案</w:t>
      </w:r>
      <w:r>
        <w:rPr>
          <w:rFonts w:hint="eastAsia" w:ascii="仿宋" w:hAnsi="仿宋" w:eastAsia="仿宋"/>
          <w:sz w:val="32"/>
          <w:szCs w:val="32"/>
          <w:lang w:eastAsia="zh-CN"/>
        </w:rPr>
        <w:t>。</w:t>
      </w:r>
    </w:p>
    <w:p>
      <w:pPr>
        <w:numPr>
          <w:ilvl w:val="0"/>
          <w:numId w:val="1"/>
        </w:num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国家林业重点龙头企业（以下简称国家林业龙头企业）是指以森林资源为经营对象，以林产品生产、经营、加工、流通服务等为主业，产业关联度大、科技创新能力强、规模处于行业前列，发挥示范带动作用，并经国家林业局选定的企业</w:t>
      </w:r>
      <w:r>
        <w:rPr>
          <w:rFonts w:hint="eastAsia" w:ascii="仿宋" w:hAnsi="仿宋" w:eastAsia="仿宋"/>
          <w:sz w:val="32"/>
          <w:szCs w:val="32"/>
          <w:lang w:eastAsia="zh-CN"/>
        </w:rPr>
        <w:t>。</w:t>
      </w:r>
    </w:p>
    <w:p>
      <w:pPr>
        <w:numPr>
          <w:ilvl w:val="0"/>
          <w:numId w:val="0"/>
        </w:num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（三）国家林业龙头企业的推荐、选定和管理坚持公开、公平、公正的原则，兼顾区域平衡，发挥行业协会和专家作用，实行动态管理，不得</w:t>
      </w:r>
      <w:r>
        <w:rPr>
          <w:rFonts w:hint="eastAsia" w:ascii="仿宋" w:hAnsi="仿宋" w:eastAsia="仿宋"/>
          <w:sz w:val="32"/>
          <w:szCs w:val="32"/>
          <w:lang w:eastAsia="zh-CN"/>
        </w:rPr>
        <w:t>干</w:t>
      </w:r>
      <w:r>
        <w:rPr>
          <w:rFonts w:hint="eastAsia" w:ascii="仿宋" w:hAnsi="仿宋" w:eastAsia="仿宋"/>
          <w:sz w:val="32"/>
          <w:szCs w:val="32"/>
        </w:rPr>
        <w:t>预企业自主经营</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（四）国家林业局发展规划与资金管理司（全国木材行业管理办公室）牵头负责国家林业龙头企业的选定和管理。</w:t>
      </w:r>
    </w:p>
    <w:p>
      <w:pPr>
        <w:spacing w:line="580" w:lineRule="exact"/>
        <w:jc w:val="center"/>
        <w:rPr>
          <w:rFonts w:hint="eastAsia" w:ascii="仿宋" w:hAnsi="仿宋" w:eastAsia="仿宋"/>
          <w:b/>
          <w:sz w:val="32"/>
          <w:szCs w:val="32"/>
        </w:rPr>
      </w:pPr>
    </w:p>
    <w:p>
      <w:pPr>
        <w:spacing w:line="580" w:lineRule="exact"/>
        <w:jc w:val="center"/>
        <w:rPr>
          <w:rFonts w:hint="eastAsia" w:ascii="黑体" w:hAnsi="黑体" w:eastAsia="黑体"/>
          <w:sz w:val="32"/>
          <w:szCs w:val="32"/>
        </w:rPr>
      </w:pPr>
      <w:r>
        <w:rPr>
          <w:rFonts w:hint="eastAsia" w:ascii="黑体" w:hAnsi="黑体" w:eastAsia="黑体"/>
          <w:sz w:val="32"/>
          <w:szCs w:val="32"/>
        </w:rPr>
        <w:t>二、推荐条件与程序</w:t>
      </w:r>
    </w:p>
    <w:p>
      <w:pPr>
        <w:spacing w:line="580" w:lineRule="exact"/>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（五）国家林业龙头企业由省级林业主管部门负责组织推荐，推荐企业应符合以下基本条件：</w:t>
      </w:r>
    </w:p>
    <w:p>
      <w:pPr>
        <w:spacing w:line="580" w:lineRule="exact"/>
        <w:ind w:firstLine="800" w:firstLineChars="250"/>
        <w:rPr>
          <w:rFonts w:hint="eastAsia" w:ascii="仿宋" w:hAnsi="仿宋" w:eastAsia="仿宋"/>
          <w:sz w:val="32"/>
          <w:szCs w:val="32"/>
          <w:lang w:eastAsia="zh-CN"/>
        </w:rPr>
      </w:pPr>
      <w:r>
        <w:rPr>
          <w:rFonts w:hint="eastAsia" w:ascii="仿宋" w:hAnsi="仿宋" w:eastAsia="仿宋"/>
          <w:sz w:val="32"/>
          <w:szCs w:val="32"/>
        </w:rPr>
        <w:t>1</w:t>
      </w:r>
      <w:r>
        <w:rPr>
          <w:rFonts w:hint="eastAsia" w:ascii="仿宋" w:hAnsi="仿宋" w:eastAsia="仿宋"/>
          <w:sz w:val="32"/>
          <w:szCs w:val="32"/>
          <w:lang w:val="en-US" w:eastAsia="zh-CN"/>
        </w:rPr>
        <w:t>.</w:t>
      </w:r>
      <w:r>
        <w:rPr>
          <w:rFonts w:hint="eastAsia" w:ascii="仿宋" w:hAnsi="仿宋" w:eastAsia="仿宋"/>
          <w:sz w:val="32"/>
          <w:szCs w:val="32"/>
        </w:rPr>
        <w:t>企业规模，按企业生产经营的产品类别不同，其总资产规模、生产规模、近3年平均营销收入、市场份额等均应位居国内同行业前列，经营指标达到规定标准，企业生产经营的产品中林产品生产、加工、流通的销售收入或营业收入占总销售收入或营业收入的60％以上</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带动輻射能力。企业生产、加工、销售各环节利益联结机朝健全，产加销有机结合，能规模性带动地区经济发展，增加就业机会，促进农民增收。企业吸引和带动农户及林业职工家庭的数量居国内前列</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3</w:t>
      </w:r>
      <w:r>
        <w:rPr>
          <w:rFonts w:hint="eastAsia" w:ascii="仿宋" w:hAnsi="仿宋" w:eastAsia="仿宋"/>
          <w:sz w:val="32"/>
          <w:szCs w:val="32"/>
          <w:lang w:val="en-US" w:eastAsia="zh-CN"/>
        </w:rPr>
        <w:t>.</w:t>
      </w:r>
      <w:r>
        <w:rPr>
          <w:rFonts w:hint="eastAsia" w:ascii="仿宋" w:hAnsi="仿宋" w:eastAsia="仿宋"/>
          <w:sz w:val="32"/>
          <w:szCs w:val="32"/>
        </w:rPr>
        <w:t>产品竟争力。企业主营产品在国内具有一定竞争力，产销衔接良好，年产销率在95％以上；企业产品有注册商标；产品原则上应是省级以上的名牌产品；产品质量和科技含量居国内同行业先进水平；企业营销网络健全，市场占有率高</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4</w:t>
      </w:r>
      <w:r>
        <w:rPr>
          <w:rFonts w:hint="eastAsia" w:ascii="仿宋" w:hAnsi="仿宋" w:eastAsia="仿宋"/>
          <w:sz w:val="32"/>
          <w:szCs w:val="32"/>
          <w:lang w:val="en-US" w:eastAsia="zh-CN"/>
        </w:rPr>
        <w:t>.</w:t>
      </w:r>
      <w:r>
        <w:rPr>
          <w:rFonts w:hint="eastAsia" w:ascii="仿宋" w:hAnsi="仿宋" w:eastAsia="仿宋"/>
          <w:sz w:val="32"/>
          <w:szCs w:val="32"/>
        </w:rPr>
        <w:t>企业盈利能力</w:t>
      </w:r>
      <w:r>
        <w:rPr>
          <w:rFonts w:hint="eastAsia" w:ascii="仿宋" w:hAnsi="仿宋" w:eastAsia="仿宋"/>
          <w:sz w:val="32"/>
          <w:szCs w:val="32"/>
          <w:lang w:eastAsia="zh-CN"/>
        </w:rPr>
        <w:t>。</w:t>
      </w:r>
      <w:r>
        <w:rPr>
          <w:rFonts w:hint="eastAsia" w:ascii="仿宋" w:hAnsi="仿宋" w:eastAsia="仿宋"/>
          <w:sz w:val="32"/>
          <w:szCs w:val="32"/>
        </w:rPr>
        <w:t>企业的利润率应高于同期银行贷款基准利率2个百分点以上，企业不亏损、财务指标优良，没有债务纠纷</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5</w:t>
      </w:r>
      <w:r>
        <w:rPr>
          <w:rFonts w:hint="eastAsia" w:ascii="仿宋" w:hAnsi="仿宋" w:eastAsia="仿宋"/>
          <w:sz w:val="32"/>
          <w:szCs w:val="32"/>
          <w:lang w:val="en-US" w:eastAsia="zh-CN"/>
        </w:rPr>
        <w:t>.</w:t>
      </w:r>
      <w:r>
        <w:rPr>
          <w:rFonts w:hint="eastAsia" w:ascii="仿宋" w:hAnsi="仿宋" w:eastAsia="仿宋"/>
          <w:sz w:val="32"/>
          <w:szCs w:val="32"/>
        </w:rPr>
        <w:t>信用等级。企业应守法和诚信经营，无偷税漏税、无乱砍滥伐，不拖欠工资，不拖欠社会保险金，不拖欠林地租金或农户红利，信用等级在AA级以上</w:t>
      </w:r>
      <w:r>
        <w:rPr>
          <w:rFonts w:hint="eastAsia" w:ascii="仿宋" w:hAnsi="仿宋" w:eastAsia="仿宋"/>
          <w:sz w:val="32"/>
          <w:szCs w:val="32"/>
          <w:lang w:eastAsia="zh-CN"/>
        </w:rPr>
        <w:t>（</w:t>
      </w:r>
      <w:r>
        <w:rPr>
          <w:rFonts w:hint="eastAsia" w:ascii="仿宋" w:hAnsi="仿宋" w:eastAsia="仿宋"/>
          <w:sz w:val="32"/>
          <w:szCs w:val="32"/>
        </w:rPr>
        <w:t>含AA级）</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6</w:t>
      </w:r>
      <w:r>
        <w:rPr>
          <w:rFonts w:hint="eastAsia" w:ascii="仿宋" w:hAnsi="仿宋" w:eastAsia="仿宋"/>
          <w:sz w:val="32"/>
          <w:szCs w:val="32"/>
          <w:lang w:val="en-US" w:eastAsia="zh-CN"/>
        </w:rPr>
        <w:t>.</w:t>
      </w:r>
      <w:r>
        <w:rPr>
          <w:rFonts w:hint="eastAsia" w:ascii="仿宋" w:hAnsi="仿宋" w:eastAsia="仿宋"/>
          <w:sz w:val="32"/>
          <w:szCs w:val="32"/>
        </w:rPr>
        <w:t>可持续发展能力。企业直接在工商行政管理部门注册登记、正常运营3年以上（含3年</w:t>
      </w:r>
      <w:r>
        <w:rPr>
          <w:rFonts w:hint="eastAsia" w:ascii="仿宋" w:hAnsi="仿宋" w:eastAsia="仿宋"/>
          <w:sz w:val="32"/>
          <w:szCs w:val="32"/>
          <w:lang w:eastAsia="zh-CN"/>
        </w:rPr>
        <w:t>）</w:t>
      </w:r>
      <w:r>
        <w:rPr>
          <w:rFonts w:hint="eastAsia" w:ascii="仿宋" w:hAnsi="仿宋" w:eastAsia="仿宋"/>
          <w:sz w:val="32"/>
          <w:szCs w:val="32"/>
          <w:lang w:val="en-US" w:eastAsia="zh-CN"/>
        </w:rPr>
        <w:t>;</w:t>
      </w:r>
      <w:r>
        <w:rPr>
          <w:rFonts w:hint="eastAsia" w:ascii="仿宋" w:hAnsi="仿宋" w:eastAsia="仿宋"/>
          <w:sz w:val="32"/>
          <w:szCs w:val="32"/>
        </w:rPr>
        <w:t>企业技术装备应达到国内先进水平能及时推广应用新品种、新技术、新工艺、新设备、新机制和新模式；生产企业应具有较强的产品研发能力，服务企业应有相应</w:t>
      </w:r>
      <w:r>
        <w:rPr>
          <w:rFonts w:hint="eastAsia" w:ascii="仿宋" w:hAnsi="仿宋" w:eastAsia="仿宋"/>
          <w:sz w:val="32"/>
          <w:szCs w:val="32"/>
          <w:lang w:eastAsia="zh-CN"/>
        </w:rPr>
        <w:t>行业的较高资质。</w:t>
      </w:r>
    </w:p>
    <w:p>
      <w:pPr>
        <w:spacing w:line="580" w:lineRule="exact"/>
        <w:ind w:firstLine="640" w:firstLineChars="200"/>
        <w:rPr>
          <w:rFonts w:hint="eastAsia" w:ascii="仿宋" w:hAnsi="仿宋" w:eastAsia="仿宋"/>
          <w:sz w:val="32"/>
          <w:szCs w:val="32"/>
        </w:rPr>
      </w:pPr>
      <w:r>
        <w:rPr>
          <w:rFonts w:hint="eastAsia" w:ascii="仿宋" w:hAnsi="仿宋" w:eastAsia="仿宋"/>
          <w:sz w:val="32"/>
          <w:szCs w:val="32"/>
        </w:rPr>
        <w:t>7</w:t>
      </w:r>
      <w:r>
        <w:rPr>
          <w:rFonts w:hint="eastAsia" w:ascii="仿宋" w:hAnsi="仿宋" w:eastAsia="仿宋"/>
          <w:sz w:val="32"/>
          <w:szCs w:val="32"/>
          <w:lang w:val="en-US" w:eastAsia="zh-CN"/>
        </w:rPr>
        <w:t>.</w:t>
      </w:r>
      <w:r>
        <w:rPr>
          <w:rFonts w:hint="eastAsia" w:ascii="仿宋" w:hAnsi="仿宋" w:eastAsia="仿宋"/>
          <w:sz w:val="32"/>
          <w:szCs w:val="32"/>
        </w:rPr>
        <w:t>资源综合利用和环境保护水平位居国内同行业前列。</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8</w:t>
      </w:r>
      <w:r>
        <w:rPr>
          <w:rFonts w:hint="eastAsia" w:ascii="仿宋" w:hAnsi="仿宋" w:eastAsia="仿宋"/>
          <w:sz w:val="32"/>
          <w:szCs w:val="32"/>
          <w:lang w:val="en-US" w:eastAsia="zh-CN"/>
        </w:rPr>
        <w:t>.</w:t>
      </w:r>
      <w:r>
        <w:rPr>
          <w:rFonts w:hint="eastAsia" w:ascii="仿宋" w:hAnsi="仿宋" w:eastAsia="仿宋"/>
          <w:sz w:val="32"/>
          <w:szCs w:val="32"/>
        </w:rPr>
        <w:t>林产品专业市场（含林副产品批发市场）产权清晰，基础设施较好，配套设施齐全，市场信息收集、整理、发布等服务工作及时规范。市场交易秩序良好，内部管理制度健全，管理和运作比较规范，没有欺行霸市、强买强卖等不法现象</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9</w:t>
      </w:r>
      <w:r>
        <w:rPr>
          <w:rFonts w:hint="eastAsia" w:ascii="仿宋" w:hAnsi="仿宋" w:eastAsia="仿宋"/>
          <w:sz w:val="32"/>
          <w:szCs w:val="32"/>
          <w:lang w:val="en-US" w:eastAsia="zh-CN"/>
        </w:rPr>
        <w:t>.</w:t>
      </w:r>
      <w:r>
        <w:rPr>
          <w:rFonts w:hint="eastAsia" w:ascii="仿宋" w:hAnsi="仿宋" w:eastAsia="仿宋"/>
          <w:sz w:val="32"/>
          <w:szCs w:val="32"/>
        </w:rPr>
        <w:t>对已经开展省级林业龙头企业认定的省（区、市），原则上要求应为省级林业龙头企业，并在有效期内</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10</w:t>
      </w:r>
      <w:r>
        <w:rPr>
          <w:rFonts w:hint="eastAsia" w:ascii="仿宋" w:hAnsi="仿宋" w:eastAsia="仿宋"/>
          <w:sz w:val="32"/>
          <w:szCs w:val="32"/>
          <w:lang w:val="en-US" w:eastAsia="zh-CN"/>
        </w:rPr>
        <w:t>.</w:t>
      </w:r>
      <w:r>
        <w:rPr>
          <w:rFonts w:hint="eastAsia" w:ascii="仿宋" w:hAnsi="仿宋" w:eastAsia="仿宋"/>
          <w:sz w:val="32"/>
          <w:szCs w:val="32"/>
        </w:rPr>
        <w:t>对创新型、外向型企业可适当放宽推荐条件</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rPr>
      </w:pPr>
      <w:r>
        <w:rPr>
          <w:rFonts w:hint="eastAsia" w:ascii="仿宋" w:hAnsi="仿宋" w:eastAsia="仿宋"/>
          <w:sz w:val="32"/>
          <w:szCs w:val="32"/>
        </w:rPr>
        <w:t>企业推荐具体标准见附件1。</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 xml:space="preserve"> (六）被推荐企业应提供下列材料：</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w:t>
      </w:r>
      <w:r>
        <w:rPr>
          <w:rFonts w:hint="eastAsia" w:ascii="仿宋" w:hAnsi="仿宋" w:eastAsia="仿宋"/>
          <w:sz w:val="32"/>
          <w:szCs w:val="32"/>
        </w:rPr>
        <w:t>国家林业龙头企业推荐书（附件2）</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证明材料</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（1）加盖审核部门公章的企业营业执照复印件。</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（2）县级以上（含县级）金融部门或有资质的中介机构出具的企业资信证明。</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（3）有资质的中介机构出具的企业近3个年度的财务审计报告</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（4）与农户（林区职工）利益联结关系及带动情况</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（5）其他材料</w:t>
      </w:r>
      <w:r>
        <w:rPr>
          <w:rFonts w:hint="eastAsia" w:ascii="仿宋" w:hAnsi="仿宋" w:eastAsia="仿宋"/>
          <w:sz w:val="32"/>
          <w:szCs w:val="32"/>
          <w:lang w:eastAsia="zh-CN"/>
        </w:rPr>
        <w:t>。</w:t>
      </w:r>
      <w:r>
        <w:rPr>
          <w:rFonts w:hint="eastAsia" w:ascii="仿宋" w:hAnsi="仿宋" w:eastAsia="仿宋"/>
          <w:sz w:val="32"/>
          <w:szCs w:val="32"/>
        </w:rPr>
        <w:t>专利、成果证书，食品、药品合格证，高新技术产品、原产地保护、绿色（有机、森林）食品等认定证明等</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（七）推荐程序</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企业由所在地省级林业行政主管部门向国家林业局推，省级林业行政主管部门对推荐意见和推荐材料的真实性负责</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内蒙古、吉林、龙江、大兴安岭森工（林业）集团公司，新生产建设兵团林业局和中央管理企业直接向国家林业局推荐所属企业，并对推荐意见和推荐材料的真实性负责</w:t>
      </w:r>
      <w:r>
        <w:rPr>
          <w:rFonts w:hint="eastAsia" w:ascii="仿宋" w:hAnsi="仿宋" w:eastAsia="仿宋"/>
          <w:sz w:val="32"/>
          <w:szCs w:val="32"/>
          <w:lang w:eastAsia="zh-CN"/>
        </w:rPr>
        <w:t>。</w:t>
      </w:r>
    </w:p>
    <w:p>
      <w:pPr>
        <w:spacing w:line="580" w:lineRule="exact"/>
        <w:rPr>
          <w:rFonts w:hint="eastAsia" w:ascii="仿宋" w:hAnsi="仿宋" w:eastAsia="仿宋"/>
          <w:b/>
          <w:sz w:val="32"/>
          <w:szCs w:val="32"/>
        </w:rPr>
      </w:pPr>
    </w:p>
    <w:p>
      <w:pPr>
        <w:spacing w:line="580" w:lineRule="exact"/>
        <w:jc w:val="center"/>
        <w:rPr>
          <w:rFonts w:hint="eastAsia" w:ascii="仿宋" w:hAnsi="仿宋" w:eastAsia="仿宋"/>
          <w:sz w:val="32"/>
          <w:szCs w:val="32"/>
        </w:rPr>
      </w:pPr>
      <w:r>
        <w:rPr>
          <w:rFonts w:hint="eastAsia" w:ascii="黑体" w:hAnsi="黑体" w:eastAsia="黑体"/>
          <w:sz w:val="32"/>
          <w:szCs w:val="32"/>
        </w:rPr>
        <w:t>三、评审与选定</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（八）国家林业龙头企业选定工作程序</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1．国家林业局组建专家组，对各地、各组织单位推荐的企业材料进行审核，提出选定意见</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2．国家林业局对各地推荐的企业，视情况需要组织专家进行实地核查</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3．经选定的企业，通过国家林业局网站或有关媒体公示七个工作日。如无异议，由国家林业局发文公布、颁发证书和牌匾</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（九）国家林业龙头企业每两年推荐和选定一次</w:t>
      </w:r>
    </w:p>
    <w:p>
      <w:pPr>
        <w:spacing w:line="580" w:lineRule="exact"/>
        <w:ind w:firstLine="320" w:firstLineChars="100"/>
        <w:jc w:val="center"/>
        <w:rPr>
          <w:rFonts w:hint="eastAsia" w:ascii="仿宋" w:hAnsi="仿宋" w:eastAsia="仿宋"/>
          <w:sz w:val="32"/>
          <w:szCs w:val="32"/>
        </w:rPr>
      </w:pPr>
    </w:p>
    <w:p>
      <w:pPr>
        <w:spacing w:line="580" w:lineRule="exact"/>
        <w:ind w:firstLine="320" w:firstLineChars="100"/>
        <w:jc w:val="center"/>
        <w:rPr>
          <w:rFonts w:hint="eastAsia" w:ascii="仿宋" w:hAnsi="仿宋" w:eastAsia="仿宋"/>
          <w:sz w:val="32"/>
          <w:szCs w:val="32"/>
        </w:rPr>
      </w:pPr>
      <w:r>
        <w:rPr>
          <w:rFonts w:hint="eastAsia" w:ascii="黑体" w:hAnsi="黑体" w:eastAsia="黑体"/>
          <w:sz w:val="32"/>
          <w:szCs w:val="32"/>
        </w:rPr>
        <w:t>四、运行监测</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（十）对国家林业龙头企业实行动态管理，定期开展监测与评价。</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（十－）实行年度信息报告制度。国家林业龙头企业应在每年3月1日前，向推荐单位报送上一年度“企业经营情况表”</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（十ニ）监测评价管理</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1</w:t>
      </w:r>
      <w:r>
        <w:rPr>
          <w:rFonts w:hint="eastAsia" w:ascii="仿宋" w:hAnsi="仿宋" w:eastAsia="仿宋"/>
          <w:sz w:val="32"/>
          <w:szCs w:val="32"/>
          <w:lang w:val="en-US" w:eastAsia="zh-CN"/>
        </w:rPr>
        <w:t>.</w:t>
      </w:r>
      <w:r>
        <w:rPr>
          <w:rFonts w:hint="eastAsia" w:ascii="仿宋" w:hAnsi="仿宋" w:eastAsia="仿宋"/>
          <w:sz w:val="32"/>
          <w:szCs w:val="32"/>
        </w:rPr>
        <w:t>每3年对国家林业龙头企业进行运行监测评价一次。第次监测在企业被选定为龙头企业后的第三年进行</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企业报送材料，企业基本情况、经营情况、基地建设情况带动农户（林区职工）就业和增收等文字材料，出具资信等有关证明材料</w:t>
      </w:r>
      <w:r>
        <w:rPr>
          <w:rFonts w:hint="eastAsia" w:ascii="仿宋" w:hAnsi="仿宋" w:eastAsia="仿宋"/>
          <w:sz w:val="32"/>
          <w:szCs w:val="32"/>
          <w:lang w:eastAsia="zh-CN"/>
        </w:rPr>
        <w:t>。</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3</w:t>
      </w:r>
      <w:r>
        <w:rPr>
          <w:rFonts w:hint="eastAsia" w:ascii="仿宋" w:hAnsi="仿宋" w:eastAsia="仿宋"/>
          <w:sz w:val="32"/>
          <w:szCs w:val="32"/>
          <w:lang w:val="en-US" w:eastAsia="zh-CN"/>
        </w:rPr>
        <w:t>.</w:t>
      </w:r>
      <w:r>
        <w:rPr>
          <w:rFonts w:hint="eastAsia" w:ascii="仿宋" w:hAnsi="仿宋" w:eastAsia="仿宋"/>
          <w:sz w:val="32"/>
          <w:szCs w:val="32"/>
        </w:rPr>
        <w:t>材料汇总与核查，各推荐单位对所推荐企业的监测评价材料进行汇总，提出意见报国家林业局</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（十三）对没有通过运行监测评价的企业，取消其国家林业龙头企业称号，并向社会公布</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（十四）出现下列情况之一，造成重大社会影响的，取消其国家林业龙头企业称号：</w:t>
      </w:r>
    </w:p>
    <w:p>
      <w:pPr>
        <w:spacing w:line="580" w:lineRule="exact"/>
        <w:ind w:firstLine="320" w:firstLineChars="100"/>
        <w:rPr>
          <w:rFonts w:hint="eastAsia" w:ascii="仿宋" w:hAnsi="仿宋" w:eastAsia="仿宋"/>
          <w:sz w:val="32"/>
          <w:szCs w:val="32"/>
          <w:lang w:val="en-US" w:eastAsia="zh-CN"/>
        </w:rPr>
      </w:pPr>
      <w:r>
        <w:rPr>
          <w:rFonts w:hint="eastAsia" w:ascii="仿宋" w:hAnsi="仿宋" w:eastAsia="仿宋"/>
          <w:sz w:val="32"/>
          <w:szCs w:val="32"/>
        </w:rPr>
        <w:t>1</w:t>
      </w:r>
      <w:r>
        <w:rPr>
          <w:rFonts w:hint="eastAsia" w:ascii="仿宋" w:hAnsi="仿宋" w:eastAsia="仿宋"/>
          <w:sz w:val="32"/>
          <w:szCs w:val="32"/>
          <w:lang w:val="en-US" w:eastAsia="zh-CN"/>
        </w:rPr>
        <w:t>.</w:t>
      </w:r>
      <w:r>
        <w:rPr>
          <w:rFonts w:hint="eastAsia" w:ascii="仿宋" w:hAnsi="仿宋" w:eastAsia="仿宋"/>
          <w:sz w:val="32"/>
          <w:szCs w:val="32"/>
        </w:rPr>
        <w:t>弄虚作假，骗取国家林业龙头企业称号的</w:t>
      </w:r>
      <w:r>
        <w:rPr>
          <w:rFonts w:hint="eastAsia" w:ascii="仿宋" w:hAnsi="仿宋" w:eastAsia="仿宋"/>
          <w:sz w:val="32"/>
          <w:szCs w:val="32"/>
          <w:lang w:val="en-US" w:eastAsia="zh-CN"/>
        </w:rPr>
        <w:t>;</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存在骗取、套取或严重违规使用国家财政补助、补贴资金等违法违纪行为的；</w:t>
      </w:r>
    </w:p>
    <w:p>
      <w:pPr>
        <w:spacing w:line="580" w:lineRule="exact"/>
        <w:ind w:firstLine="320" w:firstLineChars="100"/>
        <w:rPr>
          <w:rFonts w:hint="eastAsia" w:ascii="仿宋" w:hAnsi="仿宋" w:eastAsia="仿宋"/>
          <w:sz w:val="32"/>
          <w:szCs w:val="32"/>
          <w:lang w:val="en-US" w:eastAsia="zh-CN"/>
        </w:rPr>
      </w:pPr>
      <w:r>
        <w:rPr>
          <w:rFonts w:hint="eastAsia" w:ascii="仿宋" w:hAnsi="仿宋" w:eastAsia="仿宋"/>
          <w:sz w:val="32"/>
          <w:szCs w:val="32"/>
        </w:rPr>
        <w:t>3</w:t>
      </w:r>
      <w:r>
        <w:rPr>
          <w:rFonts w:hint="eastAsia" w:ascii="仿宋" w:hAnsi="仿宋" w:eastAsia="仿宋"/>
          <w:sz w:val="32"/>
          <w:szCs w:val="32"/>
          <w:lang w:val="en-US" w:eastAsia="zh-CN"/>
        </w:rPr>
        <w:t>.</w:t>
      </w:r>
      <w:r>
        <w:rPr>
          <w:rFonts w:hint="eastAsia" w:ascii="仿宋" w:hAnsi="仿宋" w:eastAsia="仿宋"/>
          <w:sz w:val="32"/>
          <w:szCs w:val="32"/>
        </w:rPr>
        <w:t>企业因经营不良资不抵债而破产或被兼并的</w:t>
      </w:r>
      <w:r>
        <w:rPr>
          <w:rFonts w:hint="eastAsia" w:ascii="仿宋" w:hAnsi="仿宋" w:eastAsia="仿宋"/>
          <w:sz w:val="32"/>
          <w:szCs w:val="32"/>
          <w:lang w:val="en-US" w:eastAsia="zh-CN"/>
        </w:rPr>
        <w:t>;</w:t>
      </w:r>
    </w:p>
    <w:p>
      <w:pPr>
        <w:spacing w:line="580" w:lineRule="exact"/>
        <w:ind w:firstLine="320" w:firstLineChars="100"/>
        <w:rPr>
          <w:rFonts w:hint="eastAsia" w:ascii="仿宋" w:hAnsi="仿宋" w:eastAsia="仿宋"/>
          <w:sz w:val="32"/>
          <w:szCs w:val="32"/>
          <w:lang w:val="en-US" w:eastAsia="zh-CN"/>
        </w:rPr>
      </w:pPr>
      <w:r>
        <w:rPr>
          <w:rFonts w:hint="eastAsia" w:ascii="仿宋" w:hAnsi="仿宋" w:eastAsia="仿宋"/>
          <w:sz w:val="32"/>
          <w:szCs w:val="32"/>
        </w:rPr>
        <w:t>4</w:t>
      </w:r>
      <w:r>
        <w:rPr>
          <w:rFonts w:hint="eastAsia" w:ascii="仿宋" w:hAnsi="仿宋" w:eastAsia="仿宋"/>
          <w:sz w:val="32"/>
          <w:szCs w:val="32"/>
          <w:lang w:val="en-US" w:eastAsia="zh-CN"/>
        </w:rPr>
        <w:t>.</w:t>
      </w:r>
      <w:r>
        <w:rPr>
          <w:rFonts w:hint="eastAsia" w:ascii="仿宋" w:hAnsi="仿宋" w:eastAsia="仿宋"/>
          <w:sz w:val="32"/>
          <w:szCs w:val="32"/>
        </w:rPr>
        <w:t>企业不按规定要求提供运行监测材料，或拒绝参加监测的</w:t>
      </w:r>
      <w:r>
        <w:rPr>
          <w:rFonts w:hint="eastAsia" w:ascii="仿宋" w:hAnsi="仿宋" w:eastAsia="仿宋"/>
          <w:sz w:val="32"/>
          <w:szCs w:val="32"/>
          <w:lang w:val="en-US" w:eastAsia="zh-CN"/>
        </w:rPr>
        <w:t>;</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5</w:t>
      </w:r>
      <w:r>
        <w:rPr>
          <w:rFonts w:hint="eastAsia" w:ascii="仿宋" w:hAnsi="仿宋" w:eastAsia="仿宋"/>
          <w:sz w:val="32"/>
          <w:szCs w:val="32"/>
          <w:lang w:val="en-US" w:eastAsia="zh-CN"/>
        </w:rPr>
        <w:t>.</w:t>
      </w:r>
      <w:r>
        <w:rPr>
          <w:rFonts w:hint="eastAsia" w:ascii="仿宋" w:hAnsi="仿宋" w:eastAsia="仿宋"/>
          <w:sz w:val="32"/>
          <w:szCs w:val="32"/>
        </w:rPr>
        <w:t>发生重大安全生产责任事故，或发生重大产品质量安全事故，或发生重大环保责任事故的；</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6</w:t>
      </w:r>
      <w:r>
        <w:rPr>
          <w:rFonts w:hint="eastAsia" w:ascii="仿宋" w:hAnsi="仿宋" w:eastAsia="仿宋"/>
          <w:sz w:val="32"/>
          <w:szCs w:val="32"/>
          <w:lang w:val="en-US" w:eastAsia="zh-CN"/>
        </w:rPr>
        <w:t>.</w:t>
      </w:r>
      <w:r>
        <w:rPr>
          <w:rFonts w:hint="eastAsia" w:ascii="仿宋" w:hAnsi="仿宋" w:eastAsia="仿宋"/>
          <w:sz w:val="32"/>
          <w:szCs w:val="32"/>
        </w:rPr>
        <w:t>其他应当取消称号的</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rPr>
      </w:pPr>
    </w:p>
    <w:p>
      <w:pPr>
        <w:spacing w:line="580" w:lineRule="exact"/>
        <w:ind w:firstLine="320" w:firstLineChars="100"/>
        <w:jc w:val="center"/>
        <w:rPr>
          <w:rFonts w:hint="eastAsia" w:ascii="黑体" w:hAnsi="黑体" w:eastAsia="黑体"/>
          <w:sz w:val="32"/>
          <w:szCs w:val="32"/>
        </w:rPr>
      </w:pPr>
      <w:r>
        <w:rPr>
          <w:rFonts w:hint="eastAsia" w:ascii="黑体" w:hAnsi="黑体" w:eastAsia="黑体"/>
          <w:sz w:val="32"/>
          <w:szCs w:val="32"/>
        </w:rPr>
        <w:t>五、附则</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（十五）经选定公布的国家林业龙头企业，享受国家有关优惠和扶持政策，在林地利用、政策性金融保险、林业财政扶持林业进出口政策、物流运输政策等方面予以倾斜</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（十六）被取消国家林业龙头企业称号的，3年内不再推荐</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（十七）严格工作纪律，对在推荐、选定、运行监测评价过程中存在徇私舞弊行为的工作人员，按有关规定子以查处</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lang w:eastAsia="zh-CN"/>
        </w:rPr>
      </w:pPr>
      <w:r>
        <w:rPr>
          <w:rFonts w:hint="eastAsia" w:ascii="仿宋" w:hAnsi="仿宋" w:eastAsia="仿宋"/>
          <w:sz w:val="32"/>
          <w:szCs w:val="32"/>
        </w:rPr>
        <w:t>（十八）国家林业龙头企业更改企业名称，需要对其国家林业龙头企业称号予以重新确认的，企业应出具工商行政管理部门的营业执照等更名材料，由省级林业行政主管部门或企业所属上级集团（总公司）提出审查意见，报国家林业局予以审核确认</w:t>
      </w:r>
      <w:r>
        <w:rPr>
          <w:rFonts w:hint="eastAsia" w:ascii="仿宋" w:hAnsi="仿宋" w:eastAsia="仿宋"/>
          <w:sz w:val="32"/>
          <w:szCs w:val="32"/>
          <w:lang w:eastAsia="zh-CN"/>
        </w:rPr>
        <w:t>。</w:t>
      </w: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（十九）本《方案》由国家林业局负责解释。自发布之日起实施。</w:t>
      </w: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r>
        <w:rPr>
          <w:rFonts w:hint="eastAsia" w:ascii="仿宋" w:hAnsi="仿宋" w:eastAsia="仿宋"/>
          <w:sz w:val="32"/>
          <w:szCs w:val="32"/>
        </w:rPr>
        <w:t>附件：1</w:t>
      </w:r>
      <w:r>
        <w:rPr>
          <w:rFonts w:hint="eastAsia" w:ascii="仿宋" w:hAnsi="仿宋" w:eastAsia="仿宋"/>
          <w:sz w:val="32"/>
          <w:szCs w:val="32"/>
          <w:lang w:val="en-US" w:eastAsia="zh-CN"/>
        </w:rPr>
        <w:t>.</w:t>
      </w:r>
      <w:r>
        <w:rPr>
          <w:rFonts w:hint="eastAsia" w:ascii="仿宋" w:hAnsi="仿宋" w:eastAsia="仿宋"/>
          <w:sz w:val="32"/>
          <w:szCs w:val="32"/>
        </w:rPr>
        <w:t>企业推荐标准</w:t>
      </w:r>
    </w:p>
    <w:p>
      <w:pPr>
        <w:spacing w:line="580" w:lineRule="exact"/>
        <w:ind w:firstLine="1280" w:firstLineChars="400"/>
        <w:rPr>
          <w:rFonts w:hint="eastAsia"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lang w:val="en-US" w:eastAsia="zh-CN"/>
        </w:rPr>
        <w:t>.</w:t>
      </w:r>
      <w:r>
        <w:rPr>
          <w:rFonts w:hint="eastAsia" w:ascii="仿宋" w:hAnsi="仿宋" w:eastAsia="仿宋"/>
          <w:sz w:val="32"/>
          <w:szCs w:val="32"/>
        </w:rPr>
        <w:t>国家林业重点龙头企业推荐书</w:t>
      </w: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left="160" w:hanging="160" w:hangingChars="50"/>
        <w:rPr>
          <w:rFonts w:hint="eastAsia" w:ascii="仿宋" w:hAnsi="仿宋" w:eastAsia="仿宋"/>
          <w:sz w:val="32"/>
          <w:szCs w:val="32"/>
        </w:rPr>
      </w:pPr>
    </w:p>
    <w:p>
      <w:pPr>
        <w:spacing w:line="580" w:lineRule="exact"/>
        <w:rPr>
          <w:rFonts w:hint="eastAsia" w:ascii="仿宋" w:hAnsi="仿宋" w:eastAsia="仿宋"/>
          <w:sz w:val="32"/>
          <w:szCs w:val="32"/>
          <w:lang w:val="en-US" w:eastAsia="zh-CN"/>
        </w:rPr>
      </w:pPr>
      <w:r>
        <w:rPr>
          <w:rFonts w:hint="eastAsia" w:ascii="仿宋" w:hAnsi="仿宋" w:eastAsia="仿宋"/>
          <w:sz w:val="32"/>
          <w:szCs w:val="32"/>
        </w:rPr>
        <w:t xml:space="preserve">国家林业局办公室   </w:t>
      </w:r>
      <w:r>
        <w:rPr>
          <w:rFonts w:hint="eastAsia" w:ascii="仿宋" w:hAnsi="仿宋" w:eastAsia="仿宋"/>
          <w:sz w:val="32"/>
          <w:szCs w:val="32"/>
          <w:lang w:val="en-US" w:eastAsia="zh-CN"/>
        </w:rPr>
        <w:t xml:space="preserve">           </w:t>
      </w:r>
      <w:r>
        <w:rPr>
          <w:rFonts w:hint="eastAsia" w:ascii="仿宋" w:hAnsi="仿宋" w:eastAsia="仿宋"/>
          <w:sz w:val="32"/>
          <w:szCs w:val="32"/>
        </w:rPr>
        <w:t>2013年12月20日印发</w:t>
      </w:r>
    </w:p>
    <w:p>
      <w:pPr>
        <w:spacing w:line="580" w:lineRule="exact"/>
        <w:rPr>
          <w:rFonts w:hint="eastAsia" w:ascii="仿宋" w:hAnsi="仿宋" w:eastAsia="仿宋"/>
          <w:sz w:val="32"/>
          <w:szCs w:val="32"/>
        </w:rPr>
      </w:pPr>
    </w:p>
    <w:p>
      <w:pPr>
        <w:spacing w:line="580" w:lineRule="exact"/>
        <w:ind w:left="160" w:hanging="160" w:hangingChars="50"/>
        <w:rPr>
          <w:rFonts w:hint="eastAsia" w:ascii="仿宋" w:hAnsi="仿宋" w:eastAsia="仿宋"/>
          <w:sz w:val="32"/>
          <w:szCs w:val="32"/>
        </w:rPr>
      </w:pPr>
      <w:r>
        <w:rPr>
          <w:rFonts w:hint="eastAsia" w:ascii="仿宋" w:hAnsi="仿宋" w:eastAsia="仿宋"/>
          <w:sz w:val="32"/>
          <w:szCs w:val="32"/>
        </w:rPr>
        <w:t>附件1</w:t>
      </w:r>
    </w:p>
    <w:p>
      <w:pPr>
        <w:spacing w:line="580" w:lineRule="exact"/>
        <w:ind w:firstLine="321" w:firstLineChars="100"/>
        <w:jc w:val="center"/>
        <w:rPr>
          <w:rFonts w:hint="eastAsia" w:asciiTheme="majorEastAsia" w:hAnsiTheme="majorEastAsia" w:eastAsiaTheme="majorEastAsia"/>
          <w:b/>
          <w:sz w:val="32"/>
          <w:szCs w:val="32"/>
        </w:rPr>
      </w:pPr>
      <w:r>
        <w:rPr>
          <w:rFonts w:hint="eastAsia" w:asciiTheme="majorEastAsia" w:hAnsiTheme="majorEastAsia" w:eastAsiaTheme="majorEastAsia"/>
          <w:b/>
          <w:sz w:val="32"/>
          <w:szCs w:val="32"/>
        </w:rPr>
        <w:t>企业推荐标准</w:t>
      </w:r>
    </w:p>
    <w:p>
      <w:pPr>
        <w:spacing w:line="580" w:lineRule="exact"/>
        <w:ind w:firstLine="321" w:firstLineChars="100"/>
        <w:rPr>
          <w:rFonts w:hint="eastAsia" w:ascii="仿宋" w:hAnsi="仿宋" w:eastAsia="仿宋"/>
          <w:b/>
          <w:sz w:val="32"/>
          <w:szCs w:val="32"/>
        </w:rPr>
      </w:pP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1</w:t>
      </w:r>
      <w:r>
        <w:rPr>
          <w:rFonts w:hint="eastAsia" w:ascii="仿宋" w:hAnsi="仿宋" w:eastAsia="仿宋"/>
          <w:b/>
          <w:sz w:val="32"/>
          <w:szCs w:val="32"/>
          <w:lang w:val="en-US" w:eastAsia="zh-CN"/>
        </w:rPr>
        <w:t>.</w:t>
      </w:r>
      <w:r>
        <w:rPr>
          <w:rFonts w:hint="eastAsia" w:ascii="仿宋" w:hAnsi="仿宋" w:eastAsia="仿宋"/>
          <w:b/>
          <w:sz w:val="32"/>
          <w:szCs w:val="32"/>
        </w:rPr>
        <w:t>木竹种植与培育类。</w:t>
      </w:r>
      <w:r>
        <w:rPr>
          <w:rFonts w:hint="eastAsia" w:ascii="仿宋" w:hAnsi="仿宋" w:eastAsia="仿宋"/>
          <w:sz w:val="32"/>
          <w:szCs w:val="32"/>
        </w:rPr>
        <w:t>种植、培育木竹原料林基地的企业，总资产规模在1亿元以上，木竹原料林基地种植面积10万亩以上；种植、培育木本粮油、森林药材、森林蔬菜等经济林基地的企业，总资产在3000万元以上，种植面积1000亩以上（其中：种植木本油料的企业，种植面积在10000以上）</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2</w:t>
      </w:r>
      <w:r>
        <w:rPr>
          <w:rFonts w:hint="eastAsia" w:ascii="仿宋" w:hAnsi="仿宋" w:eastAsia="仿宋"/>
          <w:b/>
          <w:sz w:val="32"/>
          <w:szCs w:val="32"/>
          <w:lang w:val="en-US" w:eastAsia="zh-CN"/>
        </w:rPr>
        <w:t>.</w:t>
      </w:r>
      <w:r>
        <w:rPr>
          <w:rFonts w:hint="eastAsia" w:ascii="仿宋" w:hAnsi="仿宋" w:eastAsia="仿宋"/>
          <w:b/>
          <w:sz w:val="32"/>
          <w:szCs w:val="32"/>
        </w:rPr>
        <w:t>林下种植（养殖）类。</w:t>
      </w:r>
      <w:r>
        <w:rPr>
          <w:rFonts w:hint="eastAsia" w:ascii="仿宋" w:hAnsi="仿宋" w:eastAsia="仿宋"/>
          <w:sz w:val="32"/>
          <w:szCs w:val="32"/>
        </w:rPr>
        <w:t>利用林地资源开展林下种植和养殖的企业，总资产规模在3000万元以上，近3年年均销售额1500万元以上，种植规模达到2000亩以上，养殖家禽1万只以上或养殖家畜1000头以上。能提供不少于100人的就业机会</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3</w:t>
      </w:r>
      <w:r>
        <w:rPr>
          <w:rFonts w:hint="eastAsia" w:ascii="仿宋" w:hAnsi="仿宋" w:eastAsia="仿宋"/>
          <w:b/>
          <w:sz w:val="32"/>
          <w:szCs w:val="32"/>
          <w:lang w:val="en-US" w:eastAsia="zh-CN"/>
        </w:rPr>
        <w:t>.</w:t>
      </w:r>
      <w:r>
        <w:rPr>
          <w:rFonts w:hint="eastAsia" w:ascii="仿宋" w:hAnsi="仿宋" w:eastAsia="仿宋"/>
          <w:b/>
          <w:sz w:val="32"/>
          <w:szCs w:val="32"/>
        </w:rPr>
        <w:t>林木种苗、花卉类。</w:t>
      </w:r>
      <w:r>
        <w:rPr>
          <w:rFonts w:hint="eastAsia" w:ascii="仿宋" w:hAnsi="仿宋" w:eastAsia="仿宋"/>
          <w:sz w:val="32"/>
          <w:szCs w:val="32"/>
        </w:rPr>
        <w:t>总资产规模在3000元以上，近3年年销售额5000万元以上，带动的农户数量达到150户以上，具有较强的新、优、特品种开发能力和良种选育繁殖能力</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4</w:t>
      </w:r>
      <w:r>
        <w:rPr>
          <w:rFonts w:hint="eastAsia" w:ascii="仿宋" w:hAnsi="仿宋" w:eastAsia="仿宋"/>
          <w:b/>
          <w:sz w:val="32"/>
          <w:szCs w:val="32"/>
          <w:lang w:val="en-US" w:eastAsia="zh-CN"/>
        </w:rPr>
        <w:t>.</w:t>
      </w:r>
      <w:r>
        <w:rPr>
          <w:rFonts w:hint="eastAsia" w:ascii="仿宋" w:hAnsi="仿宋" w:eastAsia="仿宋"/>
          <w:b/>
          <w:sz w:val="32"/>
          <w:szCs w:val="32"/>
        </w:rPr>
        <w:t>木竹（藤）加工类。</w:t>
      </w:r>
      <w:r>
        <w:rPr>
          <w:rFonts w:hint="eastAsia" w:ascii="仿宋" w:hAnsi="仿宋" w:eastAsia="仿宋"/>
          <w:sz w:val="32"/>
          <w:szCs w:val="32"/>
        </w:rPr>
        <w:t>总资产规模：以生产人造板、家具、木制品为主的木材加工企业，总资产规模在8000万元以上（其中：人造板生产企业3亿元以上），竹（藤）材加工企业在5000万元以上，木材综合利用企业在1亿元以上</w:t>
      </w:r>
      <w:r>
        <w:rPr>
          <w:rFonts w:hint="eastAsia" w:ascii="仿宋" w:hAnsi="仿宋" w:eastAsia="仿宋"/>
          <w:sz w:val="32"/>
          <w:szCs w:val="32"/>
          <w:lang w:eastAsia="zh-CN"/>
        </w:rPr>
        <w:t>。</w:t>
      </w:r>
    </w:p>
    <w:p>
      <w:pPr>
        <w:spacing w:line="580" w:lineRule="exact"/>
        <w:rPr>
          <w:rFonts w:hint="eastAsia" w:ascii="仿宋" w:hAnsi="仿宋" w:eastAsia="仿宋"/>
          <w:sz w:val="32"/>
          <w:szCs w:val="32"/>
          <w:lang w:eastAsia="zh-CN"/>
        </w:rPr>
      </w:pPr>
      <w:r>
        <w:rPr>
          <w:rFonts w:hint="eastAsia" w:ascii="仿宋" w:hAnsi="仿宋" w:eastAsia="仿宋"/>
          <w:sz w:val="32"/>
          <w:szCs w:val="32"/>
          <w:lang w:eastAsia="zh-CN"/>
        </w:rPr>
        <w:t>近</w:t>
      </w:r>
      <w:r>
        <w:rPr>
          <w:rFonts w:hint="eastAsia" w:ascii="仿宋" w:hAnsi="仿宋" w:eastAsia="仿宋"/>
          <w:sz w:val="32"/>
          <w:szCs w:val="32"/>
          <w:lang w:val="en-US" w:eastAsia="zh-CN"/>
        </w:rPr>
        <w:t>3年年均销售额：</w:t>
      </w:r>
      <w:r>
        <w:rPr>
          <w:rFonts w:hint="eastAsia" w:ascii="仿宋" w:hAnsi="仿宋" w:eastAsia="仿宋"/>
          <w:sz w:val="32"/>
          <w:szCs w:val="32"/>
        </w:rPr>
        <w:t>木材加工企业</w:t>
      </w:r>
      <w:r>
        <w:rPr>
          <w:rFonts w:hint="eastAsia" w:ascii="仿宋" w:hAnsi="仿宋" w:eastAsia="仿宋"/>
          <w:sz w:val="32"/>
          <w:szCs w:val="32"/>
          <w:lang w:val="en-US" w:eastAsia="zh-CN"/>
        </w:rPr>
        <w:t>8000万元1以上（其中：</w:t>
      </w:r>
      <w:r>
        <w:rPr>
          <w:rFonts w:hint="eastAsia" w:ascii="仿宋" w:hAnsi="仿宋" w:eastAsia="仿宋"/>
          <w:sz w:val="32"/>
          <w:szCs w:val="32"/>
        </w:rPr>
        <w:t>人造板生产企业</w:t>
      </w:r>
      <w:r>
        <w:rPr>
          <w:rFonts w:hint="eastAsia" w:ascii="仿宋" w:hAnsi="仿宋" w:eastAsia="仿宋"/>
          <w:sz w:val="32"/>
          <w:szCs w:val="32"/>
          <w:lang w:val="en-US" w:eastAsia="zh-CN"/>
        </w:rPr>
        <w:t>4.5亿元以上），</w:t>
      </w:r>
      <w:r>
        <w:rPr>
          <w:rFonts w:hint="eastAsia" w:ascii="仿宋" w:hAnsi="仿宋" w:eastAsia="仿宋"/>
          <w:sz w:val="32"/>
          <w:szCs w:val="32"/>
        </w:rPr>
        <w:t>竹</w:t>
      </w:r>
      <w:r>
        <w:rPr>
          <w:rFonts w:hint="eastAsia" w:ascii="仿宋" w:hAnsi="仿宋" w:eastAsia="仿宋"/>
          <w:sz w:val="32"/>
          <w:szCs w:val="32"/>
          <w:lang w:eastAsia="zh-CN"/>
        </w:rPr>
        <w:t>材</w:t>
      </w:r>
      <w:r>
        <w:rPr>
          <w:rFonts w:hint="eastAsia" w:ascii="仿宋" w:hAnsi="仿宋" w:eastAsia="仿宋"/>
          <w:sz w:val="32"/>
          <w:szCs w:val="32"/>
        </w:rPr>
        <w:t>加工企业</w:t>
      </w:r>
      <w:r>
        <w:rPr>
          <w:rFonts w:hint="eastAsia" w:ascii="仿宋" w:hAnsi="仿宋" w:eastAsia="仿宋"/>
          <w:sz w:val="32"/>
          <w:szCs w:val="32"/>
          <w:lang w:val="en-US" w:eastAsia="zh-CN"/>
        </w:rPr>
        <w:t>5000万元以上，</w:t>
      </w:r>
      <w:r>
        <w:rPr>
          <w:rFonts w:hint="eastAsia" w:ascii="仿宋" w:hAnsi="仿宋" w:eastAsia="仿宋"/>
          <w:sz w:val="32"/>
          <w:szCs w:val="32"/>
        </w:rPr>
        <w:t>木材综合利用企业1亿元以上</w:t>
      </w:r>
      <w:r>
        <w:rPr>
          <w:rFonts w:hint="eastAsia" w:ascii="仿宋" w:hAnsi="仿宋" w:eastAsia="仿宋"/>
          <w:sz w:val="32"/>
          <w:szCs w:val="32"/>
          <w:lang w:eastAsia="zh-CN"/>
        </w:rPr>
        <w:t>。木</w:t>
      </w:r>
      <w:r>
        <w:rPr>
          <w:rFonts w:hint="eastAsia" w:ascii="仿宋" w:hAnsi="仿宋" w:eastAsia="仿宋"/>
          <w:sz w:val="32"/>
          <w:szCs w:val="32"/>
        </w:rPr>
        <w:t>竹加工企业通过自营或合作等形式，定向建设10000以上的原料林基地</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rPr>
      </w:pPr>
      <w:r>
        <w:rPr>
          <w:rFonts w:hint="eastAsia" w:ascii="仿宋" w:hAnsi="仿宋" w:eastAsia="仿宋"/>
          <w:b/>
          <w:sz w:val="32"/>
          <w:szCs w:val="32"/>
        </w:rPr>
        <w:t>5</w:t>
      </w:r>
      <w:r>
        <w:rPr>
          <w:rFonts w:hint="eastAsia" w:ascii="仿宋" w:hAnsi="仿宋" w:eastAsia="仿宋"/>
          <w:b/>
          <w:sz w:val="32"/>
          <w:szCs w:val="32"/>
          <w:lang w:eastAsia="zh-CN"/>
        </w:rPr>
        <w:t>、</w:t>
      </w:r>
      <w:r>
        <w:rPr>
          <w:rFonts w:hint="eastAsia" w:ascii="仿宋" w:hAnsi="仿宋" w:eastAsia="仿宋"/>
          <w:b/>
          <w:sz w:val="32"/>
          <w:szCs w:val="32"/>
        </w:rPr>
        <w:t>林产化工类。</w:t>
      </w:r>
      <w:r>
        <w:rPr>
          <w:rFonts w:hint="eastAsia" w:ascii="仿宋" w:hAnsi="仿宋" w:eastAsia="仿宋"/>
          <w:sz w:val="32"/>
          <w:szCs w:val="32"/>
        </w:rPr>
        <w:t>以生产松香、松节油、樟脑、冰片、栲胶紫胶、木竹炭、活性炭、香精、香料、食品添加品、染色品等林化产品类的加工企业，总资产规模3000万元以上，近3年年均销售额5000万元以上。定向建设原料基地2000亩以上，能够提供或带动不少于100人就业。</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6</w:t>
      </w:r>
      <w:r>
        <w:rPr>
          <w:rFonts w:hint="eastAsia" w:ascii="仿宋" w:hAnsi="仿宋" w:eastAsia="仿宋"/>
          <w:b/>
          <w:sz w:val="32"/>
          <w:szCs w:val="32"/>
          <w:lang w:eastAsia="zh-CN"/>
        </w:rPr>
        <w:t>、</w:t>
      </w:r>
      <w:r>
        <w:rPr>
          <w:rFonts w:hint="eastAsia" w:ascii="仿宋" w:hAnsi="仿宋" w:eastAsia="仿宋"/>
          <w:b/>
          <w:sz w:val="32"/>
          <w:szCs w:val="32"/>
        </w:rPr>
        <w:t>竹（木）制浆造纸类。</w:t>
      </w:r>
      <w:r>
        <w:rPr>
          <w:rFonts w:hint="eastAsia" w:ascii="仿宋" w:hAnsi="仿宋" w:eastAsia="仿宋"/>
          <w:sz w:val="32"/>
          <w:szCs w:val="32"/>
        </w:rPr>
        <w:t>以竹（木）材为原料的制浆造纸类企业，总资产规模在10亿元以上，年设计生产能力15万吨以上（不含15万吨）</w:t>
      </w:r>
      <w:r>
        <w:rPr>
          <w:rFonts w:hint="eastAsia" w:ascii="仿宋" w:hAnsi="仿宋" w:eastAsia="仿宋"/>
          <w:sz w:val="32"/>
          <w:szCs w:val="32"/>
          <w:lang w:eastAsia="zh-CN"/>
        </w:rPr>
        <w:t>，</w:t>
      </w:r>
      <w:r>
        <w:rPr>
          <w:rFonts w:hint="eastAsia" w:ascii="仿宋" w:hAnsi="仿宋" w:eastAsia="仿宋"/>
          <w:sz w:val="32"/>
          <w:szCs w:val="32"/>
        </w:rPr>
        <w:t>近3年年均销售额5亿元以上</w:t>
      </w:r>
      <w:r>
        <w:rPr>
          <w:rFonts w:hint="eastAsia" w:ascii="仿宋" w:hAnsi="仿宋" w:eastAsia="仿宋"/>
          <w:sz w:val="32"/>
          <w:szCs w:val="32"/>
          <w:lang w:eastAsia="zh-CN"/>
        </w:rPr>
        <w:t>。</w:t>
      </w:r>
      <w:r>
        <w:rPr>
          <w:rFonts w:hint="eastAsia" w:ascii="仿宋" w:hAnsi="仿宋" w:eastAsia="仿宋"/>
          <w:sz w:val="32"/>
          <w:szCs w:val="32"/>
        </w:rPr>
        <w:t>定向建设原料林基地10000亩以上</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7</w:t>
      </w:r>
      <w:r>
        <w:rPr>
          <w:rFonts w:hint="eastAsia" w:ascii="仿宋" w:hAnsi="仿宋" w:eastAsia="仿宋"/>
          <w:b/>
          <w:sz w:val="32"/>
          <w:szCs w:val="32"/>
          <w:lang w:eastAsia="zh-CN"/>
        </w:rPr>
        <w:t>、</w:t>
      </w:r>
      <w:r>
        <w:rPr>
          <w:rFonts w:hint="eastAsia" w:ascii="仿宋" w:hAnsi="仿宋" w:eastAsia="仿宋"/>
          <w:b/>
          <w:sz w:val="32"/>
          <w:szCs w:val="32"/>
        </w:rPr>
        <w:t>野生动植物养繁育与加工利用类。</w:t>
      </w:r>
      <w:r>
        <w:rPr>
          <w:rFonts w:hint="eastAsia" w:ascii="仿宋" w:hAnsi="仿宋" w:eastAsia="仿宋"/>
          <w:sz w:val="32"/>
          <w:szCs w:val="32"/>
        </w:rPr>
        <w:t>野生动植物加工经营类企业，总资产规模达到1亿元以上，近3年年均销售额1亿元以上，应定向建设与加工规模配套的驯养繁育基地，实现人工繁育与加工利用一体化，能够提供不少于200人的就业机会；仅从事野生动植物繁育培育类企业，总资产规模达到1000万元以上，近3年年均销售额1000万元以上，能够提供不少于100人的就业机会</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8</w:t>
      </w:r>
      <w:r>
        <w:rPr>
          <w:rFonts w:hint="eastAsia" w:ascii="仿宋" w:hAnsi="仿宋" w:eastAsia="仿宋"/>
          <w:b/>
          <w:sz w:val="32"/>
          <w:szCs w:val="32"/>
          <w:lang w:eastAsia="zh-CN"/>
        </w:rPr>
        <w:t>、</w:t>
      </w:r>
      <w:r>
        <w:rPr>
          <w:rFonts w:hint="eastAsia" w:ascii="仿宋" w:hAnsi="仿宋" w:eastAsia="仿宋"/>
          <w:b/>
          <w:sz w:val="32"/>
          <w:szCs w:val="32"/>
        </w:rPr>
        <w:t>森林食品加工类。</w:t>
      </w:r>
      <w:r>
        <w:rPr>
          <w:rFonts w:hint="eastAsia" w:ascii="仿宋" w:hAnsi="仿宋" w:eastAsia="仿宋"/>
          <w:sz w:val="32"/>
          <w:szCs w:val="32"/>
        </w:rPr>
        <w:t>以特色林果、森林蔬菜、调味品等为主的加工企业，总资产规模达到5000万元以上，近3年年均销售额8000万元以上，能够提供不少于150人以上的就业机会</w:t>
      </w:r>
      <w:r>
        <w:rPr>
          <w:rFonts w:hint="eastAsia" w:ascii="仿宋" w:hAnsi="仿宋" w:eastAsia="仿宋"/>
          <w:sz w:val="32"/>
          <w:szCs w:val="32"/>
          <w:lang w:val="en-US" w:eastAsia="zh-CN"/>
        </w:rPr>
        <w:t>;</w:t>
      </w:r>
      <w:r>
        <w:rPr>
          <w:rFonts w:hint="eastAsia" w:ascii="仿宋" w:hAnsi="仿宋" w:eastAsia="仿宋"/>
          <w:sz w:val="32"/>
          <w:szCs w:val="32"/>
        </w:rPr>
        <w:t>以木本粮油加工的企业，总资产在1亿元以上，近3年年均销售额8000万元以上。能够提供或带动不少于100人就业</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9</w:t>
      </w:r>
      <w:r>
        <w:rPr>
          <w:rFonts w:hint="eastAsia" w:ascii="仿宋" w:hAnsi="仿宋" w:eastAsia="仿宋"/>
          <w:b/>
          <w:sz w:val="32"/>
          <w:szCs w:val="32"/>
          <w:lang w:eastAsia="zh-CN"/>
        </w:rPr>
        <w:t>、</w:t>
      </w:r>
      <w:r>
        <w:rPr>
          <w:rFonts w:hint="eastAsia" w:ascii="仿宋" w:hAnsi="仿宋" w:eastAsia="仿宋"/>
          <w:b/>
          <w:sz w:val="32"/>
          <w:szCs w:val="32"/>
        </w:rPr>
        <w:t>林业生物产业类，</w:t>
      </w:r>
      <w:r>
        <w:rPr>
          <w:rFonts w:hint="eastAsia" w:ascii="仿宋" w:hAnsi="仿宋" w:eastAsia="仿宋"/>
          <w:sz w:val="32"/>
          <w:szCs w:val="32"/>
        </w:rPr>
        <w:t>以林业生物质能源、林业生物质材料林业生物医药等产品为主的企业，总资产规模达到5000万5元以上，近3年年均销售额1亿元以上</w:t>
      </w:r>
      <w:r>
        <w:rPr>
          <w:rFonts w:hint="eastAsia" w:ascii="仿宋" w:hAnsi="仿宋" w:eastAsia="仿宋"/>
          <w:sz w:val="32"/>
          <w:szCs w:val="32"/>
          <w:lang w:eastAsia="zh-CN"/>
        </w:rPr>
        <w:t>。</w:t>
      </w:r>
    </w:p>
    <w:p>
      <w:pPr>
        <w:spacing w:line="580" w:lineRule="exact"/>
        <w:ind w:firstLine="643" w:firstLineChars="200"/>
        <w:rPr>
          <w:rFonts w:hint="eastAsia" w:ascii="仿宋" w:hAnsi="仿宋" w:eastAsia="仿宋"/>
          <w:sz w:val="32"/>
          <w:szCs w:val="32"/>
          <w:lang w:eastAsia="zh-CN"/>
        </w:rPr>
      </w:pPr>
      <w:r>
        <w:rPr>
          <w:rFonts w:hint="eastAsia" w:ascii="仿宋" w:hAnsi="仿宋" w:eastAsia="仿宋"/>
          <w:b/>
          <w:sz w:val="32"/>
          <w:szCs w:val="32"/>
        </w:rPr>
        <w:t>10</w:t>
      </w:r>
      <w:r>
        <w:rPr>
          <w:rFonts w:hint="eastAsia" w:ascii="仿宋" w:hAnsi="仿宋" w:eastAsia="仿宋"/>
          <w:b/>
          <w:sz w:val="32"/>
          <w:szCs w:val="32"/>
          <w:lang w:eastAsia="zh-CN"/>
        </w:rPr>
        <w:t>、</w:t>
      </w:r>
      <w:r>
        <w:rPr>
          <w:rFonts w:hint="eastAsia" w:ascii="仿宋" w:hAnsi="仿宋" w:eastAsia="仿宋"/>
          <w:b/>
          <w:sz w:val="32"/>
          <w:szCs w:val="32"/>
        </w:rPr>
        <w:t>生态旅游经营类。</w:t>
      </w:r>
      <w:r>
        <w:rPr>
          <w:rFonts w:hint="eastAsia" w:ascii="仿宋" w:hAnsi="仿宋" w:eastAsia="仿宋"/>
          <w:sz w:val="32"/>
          <w:szCs w:val="32"/>
        </w:rPr>
        <w:t>以森林、湿地、沙地资源开展生态旅游经营为主业的企业，总资产规模在1亿元以上，经营总面积1</w:t>
      </w:r>
      <w:r>
        <w:rPr>
          <w:rFonts w:hint="eastAsia" w:ascii="仿宋" w:hAnsi="仿宋" w:eastAsia="仿宋"/>
          <w:sz w:val="32"/>
          <w:szCs w:val="32"/>
          <w:lang w:val="en-US" w:eastAsia="zh-CN"/>
        </w:rPr>
        <w:t>.</w:t>
      </w:r>
      <w:r>
        <w:rPr>
          <w:rFonts w:hint="eastAsia" w:ascii="仿宋" w:hAnsi="仿宋" w:eastAsia="仿宋"/>
          <w:sz w:val="32"/>
          <w:szCs w:val="32"/>
        </w:rPr>
        <w:t>5万亩以上，年旅游收入2亿元以上，年接待游客量达30万人次以上，提供300人以上的就业机会</w:t>
      </w:r>
      <w:r>
        <w:rPr>
          <w:rFonts w:hint="eastAsia" w:ascii="仿宋" w:hAnsi="仿宋" w:eastAsia="仿宋"/>
          <w:sz w:val="32"/>
          <w:szCs w:val="32"/>
          <w:lang w:eastAsia="zh-CN"/>
        </w:rPr>
        <w:t>。</w:t>
      </w:r>
    </w:p>
    <w:p>
      <w:pPr>
        <w:spacing w:line="580" w:lineRule="exact"/>
        <w:ind w:firstLine="643" w:firstLineChars="200"/>
        <w:rPr>
          <w:rFonts w:ascii="仿宋" w:hAnsi="仿宋" w:eastAsia="仿宋"/>
          <w:sz w:val="32"/>
          <w:szCs w:val="32"/>
        </w:rPr>
      </w:pPr>
      <w:r>
        <w:rPr>
          <w:rFonts w:hint="eastAsia" w:ascii="仿宋" w:hAnsi="仿宋" w:eastAsia="仿宋"/>
          <w:b/>
          <w:sz w:val="32"/>
          <w:szCs w:val="32"/>
        </w:rPr>
        <w:t>11</w:t>
      </w:r>
      <w:r>
        <w:rPr>
          <w:rFonts w:hint="eastAsia" w:ascii="仿宋" w:hAnsi="仿宋" w:eastAsia="仿宋"/>
          <w:b/>
          <w:sz w:val="32"/>
          <w:szCs w:val="32"/>
          <w:lang w:eastAsia="zh-CN"/>
        </w:rPr>
        <w:t>、</w:t>
      </w:r>
      <w:r>
        <w:rPr>
          <w:rFonts w:hint="eastAsia" w:ascii="仿宋" w:hAnsi="仿宋" w:eastAsia="仿宋"/>
          <w:b/>
          <w:sz w:val="32"/>
          <w:szCs w:val="32"/>
        </w:rPr>
        <w:t>林产品流通、林业服务类。</w:t>
      </w:r>
      <w:r>
        <w:rPr>
          <w:rFonts w:hint="eastAsia" w:ascii="仿宋" w:hAnsi="仿宋" w:eastAsia="仿宋"/>
          <w:sz w:val="32"/>
          <w:szCs w:val="32"/>
        </w:rPr>
        <w:t>以林产品运销为主的林产品流通类企业，总资产规模在5000万元以上，年交易额5亿元以上；以林产品批发、销售为主的林产品市场类企业，总资产5000万元以上，年交易额10亿元以上；以林业规划设计、咨询评佔、技术指导、信息支持、融资中介、体系认证等为主的林业服务企业，总资产规模达到3000万元以上，年营业额3000万元以上。</w:t>
      </w: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p>
    <w:p>
      <w:pPr>
        <w:spacing w:line="580" w:lineRule="exact"/>
        <w:ind w:firstLine="320" w:firstLineChars="100"/>
        <w:rPr>
          <w:rFonts w:hint="eastAsia" w:ascii="仿宋" w:hAnsi="仿宋" w:eastAsia="仿宋"/>
          <w:sz w:val="32"/>
          <w:szCs w:val="32"/>
        </w:rPr>
      </w:pPr>
      <w:bookmarkStart w:id="0" w:name="_GoBack"/>
      <w:bookmarkEnd w:id="0"/>
    </w:p>
    <w:p>
      <w:pPr>
        <w:spacing w:line="580" w:lineRule="exact"/>
        <w:ind w:firstLine="320" w:firstLineChars="100"/>
        <w:rPr>
          <w:rFonts w:hint="eastAsia" w:ascii="仿宋" w:hAnsi="仿宋" w:eastAsia="仿宋"/>
          <w:sz w:val="32"/>
          <w:szCs w:val="32"/>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65DCE"/>
    <w:multiLevelType w:val="singleLevel"/>
    <w:tmpl w:val="5C665DCE"/>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074AC"/>
    <w:rsid w:val="00132AF4"/>
    <w:rsid w:val="00364A66"/>
    <w:rsid w:val="003B5F43"/>
    <w:rsid w:val="00460849"/>
    <w:rsid w:val="005C5FBC"/>
    <w:rsid w:val="008074AC"/>
    <w:rsid w:val="00812201"/>
    <w:rsid w:val="00B53987"/>
    <w:rsid w:val="00CD568C"/>
    <w:rsid w:val="00D10E8C"/>
    <w:rsid w:val="01AF2F6A"/>
    <w:rsid w:val="02D201DC"/>
    <w:rsid w:val="06D45928"/>
    <w:rsid w:val="07704CAC"/>
    <w:rsid w:val="09D14DEB"/>
    <w:rsid w:val="0C546CED"/>
    <w:rsid w:val="0EB56014"/>
    <w:rsid w:val="12B719AE"/>
    <w:rsid w:val="171867B2"/>
    <w:rsid w:val="174B145B"/>
    <w:rsid w:val="18030A71"/>
    <w:rsid w:val="19180044"/>
    <w:rsid w:val="1E7453B4"/>
    <w:rsid w:val="1FE25BA3"/>
    <w:rsid w:val="211E0B09"/>
    <w:rsid w:val="229A3C19"/>
    <w:rsid w:val="29381E84"/>
    <w:rsid w:val="2BCD575F"/>
    <w:rsid w:val="2C7458D0"/>
    <w:rsid w:val="2CAF7F97"/>
    <w:rsid w:val="41604B2C"/>
    <w:rsid w:val="4432632B"/>
    <w:rsid w:val="48E949D4"/>
    <w:rsid w:val="4A831E9E"/>
    <w:rsid w:val="4B4866E6"/>
    <w:rsid w:val="4F247BE5"/>
    <w:rsid w:val="50B03954"/>
    <w:rsid w:val="51490084"/>
    <w:rsid w:val="54672467"/>
    <w:rsid w:val="59680EAB"/>
    <w:rsid w:val="5AA14CB1"/>
    <w:rsid w:val="614F639E"/>
    <w:rsid w:val="68794EA6"/>
    <w:rsid w:val="6A73739B"/>
    <w:rsid w:val="6F0E7B83"/>
    <w:rsid w:val="705C2261"/>
    <w:rsid w:val="79D4435D"/>
    <w:rsid w:val="7A9E618C"/>
    <w:rsid w:val="7AA60E09"/>
    <w:rsid w:val="7CFD141D"/>
    <w:rsid w:val="7DE92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596</Words>
  <Characters>3403</Characters>
  <Lines>28</Lines>
  <Paragraphs>7</Paragraphs>
  <TotalTime>3</TotalTime>
  <ScaleCrop>false</ScaleCrop>
  <LinksUpToDate>false</LinksUpToDate>
  <CharactersWithSpaces>3992</CharactersWithSpaces>
  <Application>WPS Office_10.8.0.6501_F1E327BC-269C-435d-A152-05C5408002CA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2019-02-13T10:00:00Z</dcterms:created>
  <dc:creator>Administrator</dc:creator>
  <cp:lastModifiedBy>Administrator</cp:lastModifiedBy>
  <dcterms:modified xsi:type="dcterms:W3CDTF">2021-04-08T00:14:08Z</dcterms:modified>
  <dc:title>国家林业重点龙头企业推选和管理</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2052-10.8.0.6501</vt:lpwstr>
  </property>
</Properties>
</file>