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杨凌示范区自然资源和规划局</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 xml:space="preserve">第一部分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 xml:space="preserve">第三部分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杨凌示范区党工委管委会机构改革实施方案，将示范区国土资源局（不动产登记局）的职责，示范区农业局（林业局）的林业管理职责，发展和改革局的组织编制并实施主体功能区规划等相关职责，住房和城乡规划建设局的城乡规划管理、测绘管理职责，水务局的水、湿地资源调查和确权登记管理等职责整合，组建示范区自然资源和规划局，作为管委会工作部门，加挂示范区不动产登记局牌子,相关内设机构随之调整。</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1.履行全民所有土地、矿产、森林、草原、湿地、水等自然资源资产所有者职责和所有国土空间用途管制职责。贯彻执行国家有关自然资源和国土空间规划及测绘等法律法规规章、标准规范规程、战略规划政策，拟订示范区自然资源和国土空间规划等规范性文件，建立示范区自然资源和国土空间规划等标准体系、规范规程并监督检查执行情况。</w:t>
      </w:r>
      <w:r>
        <w:rPr>
          <w:rFonts w:hint="eastAsia" w:eastAsia="仿宋_GB2312"/>
          <w:sz w:val="32"/>
          <w:szCs w:val="32"/>
        </w:rPr>
        <w:t>指导杨陵区相关工作。</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2.负责自然资源调查监测评价。贯彻执行示范区自然资源调查监测评价的指标体系和统计标准，建立统一规范的自然资源调查监测评价制度。实施自然资源基础调查、专项调查和监测。负责自然资源调查监测评价成果的监督管理和信息发布。指导杨陵区自然资源调查监测评价工作。做好测绘地理信息管理有关工作。</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3.负责自然资源统一确权登记工作。贯彻执行并制定示范区各类自然资源和不动产统一确权登记、权籍调查、不动产测绘、争议调处、成果应用的制度、标准、规范。建立健全示范区自然资源和不动产登记信息管理基础平台。负责示范区自然资源和不动产登记资料收集、整理、共享、汇交管理等。指导监督杨陵区自然资源和不动产登记确权登记工作。</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4.负责自然资源资产有偿使用工作。贯彻执行全民所有自然资源资产统计制度，负责全民所有自然资源资产核算。编制全民所有自然资源资产负债表，拟订考核标准。执行全民所有自然资源资产划拨、出让、租赁、作价出资、转让和土地储备政策，合理配置全民所有自然资源资产。建立基准地价、标定地价等政府公示地价制度，实施基准地价定期更新，监督管理房地产开发用地和农村集体建设用地使用权的流转。依法收缴相关资产收益。</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5.负责自然资源的合理开发利用。贯彻执行自然资源发展规划和战略，制定自然资源开发利用标准并组织实施，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6.负责建立空间规划体系并监督实施。推进落实主体功能区战略和制度，组织编制并监督实施国土空间规划和相关专项规划。开展国土空间开发适宜性评价，建立国土空间规划实施监测、评估和预警体系。组织划定生态保护红线、永久性基本农田、城镇开发边界等控制线，构建节约资源和保护环境的生产、生活、生态空间布局。贯彻落实国土空间用途管制制度，研究拟订城乡规划政策并监督实施。组织拟订并实施土地等自然资源年度利用计划。负责土地等国土空间用途转用工作，负责土地征收征用管理。</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7.负责统筹国土空间生态修复。牵头组织编制示范区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8.负责组织实施最严格的耕地保护制度。贯彻执行国家、全省有关耕地保护政策，负责耕地数量、质量和生态保护。组织实施耕地保护责任目标考核和永久基本农田特殊保护。落实耕地占补平衡制度，监督占用耕地补偿制度执行情况。</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9.负责管理示范区地质勘查行业和地质工作。编制示范区地质勘查规划并监督检查执行情况</w:t>
      </w:r>
      <w:r>
        <w:rPr>
          <w:rFonts w:hint="eastAsia" w:ascii="仿宋_GB2312" w:hAnsi="仿宋" w:eastAsia="仿宋_GB2312"/>
          <w:color w:val="000000"/>
          <w:sz w:val="32"/>
          <w:szCs w:val="32"/>
        </w:rPr>
        <w:t>。组织实施地质调查和矿产资源勘查，管理地质勘查项目。负责监督管理地下水过量开采及引发的地面沉降等地质问题。</w:t>
      </w:r>
      <w:r>
        <w:rPr>
          <w:rFonts w:hint="eastAsia" w:ascii="仿宋_GB2312" w:hAnsi="仿宋" w:eastAsia="仿宋_GB2312"/>
          <w:snapToGrid w:val="0"/>
          <w:color w:val="000000"/>
          <w:kern w:val="0"/>
          <w:sz w:val="32"/>
          <w:szCs w:val="32"/>
        </w:rPr>
        <w:t>负责古生物化石的监督管理。</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10.负责矿产资源管理工作。负责矿产资源储量及压覆矿产资源管理。负责矿业权管理。会同有关部门承担保护性开采的特定矿种、优势矿产的调控及相关管理工作，编制并实施矿业权设置方案，积极开展资源整合，有序利用；组织实施示范区矿产资源储量的登记、统计、核实、评审及报告备案工作，对建设项目压覆矿产资源进行审查和备案；承担示范区地质资料的汇交和管理；组织开展示范区矿产资源供需形势分析，拟订示范区矿产资源规划。配合做好矿产资源有关行业安全生产工作。</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11.负责测绘地理信息管理工作。负责基础测绘和测绘行业管理。负责测绘资质资格与信用管理，监督管理地理信息安全和市场秩序。负责地理信息公共服务的地图管理。组织实施地方测量标志的设立和保护。</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12.推进自然资源领域科技发展。贯彻执行国家、省上有关技术标准、规程规范并监督实施。贯彻执行中、省有关自然资源领域科技发展和人才培养战略、规划和计划，组织实施重大科技工程及创新能力建设，推进自然资源信息化和信息资料的公共服务。组织开展自然资源合作交流和科学技术研究。指导示范区自然资源人才队伍建设等工作。</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13.根据授权对杨陵区人民政府落实中、省、示范区关于自然资源和国土空间规划的重大方针政策、决策部署及法律法规执行情况进行督察。查处自然资源开发利用和国土空间规划等重大违法案件。指导杨陵区自然资源和规划有关行政执法工作。</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14.</w:t>
      </w:r>
      <w:r>
        <w:rPr>
          <w:rFonts w:hint="eastAsia" w:ascii="仿宋_GB2312" w:eastAsia="仿宋_GB2312"/>
          <w:sz w:val="32"/>
          <w:szCs w:val="32"/>
        </w:rPr>
        <w:t>负责全区林业生态保护修复的监督管理。组织全区造林绿化工作。组织编制并监督执行全区森林采伐限额，监督检查林木凭证采伐、运输。负责全区陆生野生动植物资源保护和合理开发利用。负责推进全区林业改革。制订全区林业资源优化配置及木材利用措施并组织实施。贯彻执行国家森林火灾防治规划和防护标准，指导开展防火巡护、火源管理、防火设施建设工作。监督管理全区林业和草原资产和建设资金。</w:t>
      </w:r>
    </w:p>
    <w:p>
      <w:pPr>
        <w:adjustRightInd w:val="0"/>
        <w:snapToGrid w:val="0"/>
        <w:spacing w:line="600" w:lineRule="exact"/>
        <w:ind w:firstLine="64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15.负责示范区易地扶贫搬迁工作。</w:t>
      </w:r>
    </w:p>
    <w:p>
      <w:pPr>
        <w:adjustRightInd w:val="0"/>
        <w:snapToGrid w:val="0"/>
        <w:spacing w:line="600" w:lineRule="exact"/>
        <w:ind w:firstLine="640"/>
        <w:rPr>
          <w:rFonts w:hint="eastAsia"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16.完成示范区党工委、管委会交办的其他任务。</w:t>
      </w:r>
    </w:p>
    <w:p>
      <w:pPr>
        <w:widowControl/>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spacing w:line="360" w:lineRule="auto"/>
        <w:ind w:firstLine="640"/>
        <w:rPr>
          <w:rFonts w:ascii="仿宋" w:hAnsi="仿宋" w:eastAsia="仿宋" w:cs="仿宋"/>
          <w:b/>
          <w:sz w:val="32"/>
          <w:szCs w:val="32"/>
        </w:rPr>
      </w:pPr>
      <w:r>
        <w:rPr>
          <w:rFonts w:hint="eastAsia" w:ascii="仿宋_GB2312" w:eastAsia="仿宋_GB2312"/>
          <w:sz w:val="32"/>
          <w:szCs w:val="32"/>
        </w:rPr>
        <w:t>局机关下设综合办公室、国土空间规划科、自然资源开发利用科和自然资源调查和督察监督科（示范区自然资源总督察办公室）四个内设科室</w:t>
      </w:r>
      <w:r>
        <w:rPr>
          <w:rFonts w:hint="eastAsia" w:ascii="仿宋" w:hAnsi="仿宋" w:eastAsia="仿宋" w:cs="仿宋"/>
          <w:b/>
          <w:sz w:val="32"/>
          <w:szCs w:val="32"/>
        </w:rPr>
        <w:t>。</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纳入本部门201</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年部门决算编制范围的二级决算单位共有3个，包括：</w:t>
      </w:r>
    </w:p>
    <w:tbl>
      <w:tblPr>
        <w:tblStyle w:val="7"/>
        <w:tblW w:w="0" w:type="auto"/>
        <w:tblInd w:w="-33" w:type="dxa"/>
        <w:tblLayout w:type="fixed"/>
        <w:tblCellMar>
          <w:top w:w="0" w:type="dxa"/>
          <w:left w:w="108" w:type="dxa"/>
          <w:bottom w:w="0" w:type="dxa"/>
          <w:right w:w="108" w:type="dxa"/>
        </w:tblCellMar>
      </w:tblPr>
      <w:tblGrid>
        <w:gridCol w:w="1050"/>
        <w:gridCol w:w="7470"/>
      </w:tblGrid>
      <w:tr>
        <w:tblPrEx>
          <w:tblCellMar>
            <w:top w:w="0" w:type="dxa"/>
            <w:left w:w="108" w:type="dxa"/>
            <w:bottom w:w="0" w:type="dxa"/>
            <w:right w:w="108" w:type="dxa"/>
          </w:tblCellMar>
        </w:tblPrEx>
        <w:tc>
          <w:tcPr>
            <w:tcW w:w="1050" w:type="dxa"/>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ascii="仿宋_GB2312" w:hAnsi="仿宋_GB2312" w:eastAsia="仿宋_GB2312" w:cs="仿宋_GB2312"/>
                <w:b/>
                <w:bCs/>
                <w:sz w:val="32"/>
                <w:szCs w:val="32"/>
              </w:rPr>
              <w:t>序号</w:t>
            </w:r>
          </w:p>
        </w:tc>
        <w:tc>
          <w:tcPr>
            <w:tcW w:w="7470" w:type="dxa"/>
            <w:tcBorders>
              <w:top w:val="single" w:color="000000" w:sz="6" w:space="0"/>
              <w:bottom w:val="single" w:color="888888" w:sz="6" w:space="0"/>
              <w:right w:val="single" w:color="888888" w:sz="6" w:space="0"/>
            </w:tcBorders>
            <w:shd w:val="solid" w:color="FFFFFF" w:fill="auto"/>
            <w:tcMar>
              <w:top w:w="75" w:type="dxa"/>
              <w:left w:w="75" w:type="dxa"/>
              <w:bottom w:w="75" w:type="dxa"/>
              <w:right w:w="75" w:type="dxa"/>
            </w:tcMar>
            <w:vAlign w:val="center"/>
          </w:tcPr>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ascii="仿宋_GB2312" w:hAnsi="仿宋_GB2312" w:eastAsia="仿宋_GB2312" w:cs="仿宋_GB2312"/>
                <w:b/>
                <w:bCs/>
                <w:sz w:val="32"/>
                <w:szCs w:val="32"/>
              </w:rPr>
              <w:t>单</w:t>
            </w:r>
            <w:r>
              <w:rPr>
                <w:rFonts w:hint="eastAsia" w:ascii="仿宋_GB2312" w:hAnsi="仿宋_GB2312" w:eastAsia="仿宋_GB2312" w:cs="仿宋_GB2312"/>
                <w:b/>
                <w:bCs/>
                <w:sz w:val="32"/>
                <w:szCs w:val="32"/>
              </w:rPr>
              <w:t xml:space="preserve"> </w:t>
            </w:r>
            <w:r>
              <w:rPr>
                <w:rFonts w:ascii="仿宋_GB2312" w:hAnsi="仿宋_GB2312" w:eastAsia="仿宋_GB2312" w:cs="仿宋_GB2312"/>
                <w:b/>
                <w:bCs/>
                <w:sz w:val="32"/>
                <w:szCs w:val="32"/>
              </w:rPr>
              <w:t>位</w:t>
            </w:r>
            <w:r>
              <w:rPr>
                <w:rFonts w:hint="eastAsia" w:ascii="仿宋_GB2312" w:hAnsi="仿宋_GB2312" w:eastAsia="仿宋_GB2312" w:cs="仿宋_GB2312"/>
                <w:b/>
                <w:bCs/>
                <w:sz w:val="32"/>
                <w:szCs w:val="32"/>
              </w:rPr>
              <w:t xml:space="preserve"> </w:t>
            </w:r>
            <w:r>
              <w:rPr>
                <w:rFonts w:ascii="仿宋_GB2312" w:hAnsi="仿宋_GB2312" w:eastAsia="仿宋_GB2312" w:cs="仿宋_GB2312"/>
                <w:b/>
                <w:bCs/>
                <w:sz w:val="32"/>
                <w:szCs w:val="32"/>
              </w:rPr>
              <w:t>名</w:t>
            </w:r>
            <w:r>
              <w:rPr>
                <w:rFonts w:hint="eastAsia" w:ascii="仿宋_GB2312" w:hAnsi="仿宋_GB2312" w:eastAsia="仿宋_GB2312" w:cs="仿宋_GB2312"/>
                <w:b/>
                <w:bCs/>
                <w:sz w:val="32"/>
                <w:szCs w:val="32"/>
              </w:rPr>
              <w:t xml:space="preserve"> </w:t>
            </w:r>
            <w:r>
              <w:rPr>
                <w:rFonts w:ascii="仿宋_GB2312" w:hAnsi="仿宋_GB2312" w:eastAsia="仿宋_GB2312" w:cs="仿宋_GB2312"/>
                <w:b/>
                <w:bCs/>
                <w:sz w:val="32"/>
                <w:szCs w:val="32"/>
              </w:rPr>
              <w:t>称</w:t>
            </w:r>
          </w:p>
        </w:tc>
      </w:tr>
      <w:tr>
        <w:tblPrEx>
          <w:tblCellMar>
            <w:top w:w="0" w:type="dxa"/>
            <w:left w:w="108" w:type="dxa"/>
            <w:bottom w:w="0" w:type="dxa"/>
            <w:right w:w="108" w:type="dxa"/>
          </w:tblCellMar>
        </w:tblPrEx>
        <w:tc>
          <w:tcPr>
            <w:tcW w:w="1050" w:type="dxa"/>
            <w:tcBorders>
              <w:left w:val="single" w:color="000000" w:sz="6" w:space="0"/>
              <w:bottom w:val="single" w:color="888888" w:sz="6" w:space="0"/>
              <w:right w:val="single" w:color="888888" w:sz="6" w:space="0"/>
            </w:tcBorders>
            <w:shd w:val="solid" w:color="FFFFFF" w:fill="auto"/>
            <w:tcMar>
              <w:top w:w="75" w:type="dxa"/>
              <w:left w:w="75" w:type="dxa"/>
              <w:bottom w:w="75" w:type="dxa"/>
              <w:right w:w="75" w:type="dxa"/>
            </w:tcMar>
          </w:tcPr>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470" w:type="dxa"/>
            <w:tcBorders>
              <w:bottom w:val="single" w:color="888888" w:sz="6" w:space="0"/>
              <w:right w:val="single" w:color="888888" w:sz="6" w:space="0"/>
            </w:tcBorders>
            <w:shd w:val="solid" w:color="FFFFFF" w:fill="auto"/>
            <w:tcMar>
              <w:top w:w="75" w:type="dxa"/>
              <w:left w:w="75" w:type="dxa"/>
              <w:bottom w:w="75" w:type="dxa"/>
              <w:right w:w="75" w:type="dxa"/>
            </w:tcMar>
            <w:vAlign w:val="center"/>
          </w:tcPr>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杨凌示范区</w:t>
            </w:r>
            <w:r>
              <w:rPr>
                <w:rFonts w:hint="eastAsia" w:ascii="仿宋_GB2312" w:hAnsi="仿宋_GB2312" w:eastAsia="仿宋_GB2312" w:cs="仿宋_GB2312"/>
                <w:sz w:val="32"/>
                <w:szCs w:val="32"/>
              </w:rPr>
              <w:t>自然</w:t>
            </w:r>
            <w:r>
              <w:rPr>
                <w:rFonts w:ascii="仿宋_GB2312" w:hAnsi="仿宋_GB2312" w:eastAsia="仿宋_GB2312" w:cs="仿宋_GB2312"/>
                <w:sz w:val="32"/>
                <w:szCs w:val="32"/>
              </w:rPr>
              <w:t>资源和规划局本级（机关）</w:t>
            </w:r>
          </w:p>
        </w:tc>
      </w:tr>
      <w:tr>
        <w:tblPrEx>
          <w:tblCellMar>
            <w:top w:w="0" w:type="dxa"/>
            <w:left w:w="108" w:type="dxa"/>
            <w:bottom w:w="0" w:type="dxa"/>
            <w:right w:w="108" w:type="dxa"/>
          </w:tblCellMar>
        </w:tblPrEx>
        <w:tc>
          <w:tcPr>
            <w:tcW w:w="1050" w:type="dxa"/>
            <w:tcBorders>
              <w:left w:val="single" w:color="000000" w:sz="6" w:space="0"/>
              <w:bottom w:val="single" w:color="888888" w:sz="6" w:space="0"/>
              <w:right w:val="single" w:color="888888" w:sz="6" w:space="0"/>
            </w:tcBorders>
            <w:shd w:val="solid" w:color="FFFFFF" w:fill="auto"/>
            <w:tcMar>
              <w:top w:w="75" w:type="dxa"/>
              <w:left w:w="75" w:type="dxa"/>
              <w:bottom w:w="75" w:type="dxa"/>
              <w:right w:w="75" w:type="dxa"/>
            </w:tcMar>
          </w:tcPr>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470" w:type="dxa"/>
            <w:tcBorders>
              <w:bottom w:val="single" w:color="888888" w:sz="6" w:space="0"/>
              <w:right w:val="single" w:color="888888" w:sz="6" w:space="0"/>
            </w:tcBorders>
            <w:shd w:val="solid" w:color="FFFFFF" w:fill="auto"/>
            <w:tcMar>
              <w:top w:w="75" w:type="dxa"/>
              <w:left w:w="75" w:type="dxa"/>
              <w:bottom w:w="75" w:type="dxa"/>
              <w:right w:w="75" w:type="dxa"/>
            </w:tcMar>
            <w:vAlign w:val="center"/>
          </w:tcPr>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杨凌示范区土地收购储备中心</w:t>
            </w:r>
          </w:p>
        </w:tc>
      </w:tr>
      <w:tr>
        <w:tblPrEx>
          <w:tblCellMar>
            <w:top w:w="0" w:type="dxa"/>
            <w:left w:w="108" w:type="dxa"/>
            <w:bottom w:w="0" w:type="dxa"/>
            <w:right w:w="108" w:type="dxa"/>
          </w:tblCellMar>
        </w:tblPrEx>
        <w:tc>
          <w:tcPr>
            <w:tcW w:w="1050" w:type="dxa"/>
            <w:tcBorders>
              <w:left w:val="single" w:color="000000" w:sz="6" w:space="0"/>
              <w:bottom w:val="single" w:color="888888" w:sz="6" w:space="0"/>
              <w:right w:val="single" w:color="888888" w:sz="6" w:space="0"/>
            </w:tcBorders>
            <w:shd w:val="solid" w:color="FFFFFF" w:fill="auto"/>
            <w:tcMar>
              <w:top w:w="75" w:type="dxa"/>
              <w:left w:w="75" w:type="dxa"/>
              <w:bottom w:w="75" w:type="dxa"/>
              <w:right w:w="75" w:type="dxa"/>
            </w:tcMar>
          </w:tcPr>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7470" w:type="dxa"/>
            <w:tcBorders>
              <w:bottom w:val="single" w:color="888888" w:sz="6" w:space="0"/>
              <w:right w:val="single" w:color="888888" w:sz="6" w:space="0"/>
            </w:tcBorders>
            <w:shd w:val="solid" w:color="FFFFFF" w:fill="auto"/>
            <w:tcMar>
              <w:top w:w="75" w:type="dxa"/>
              <w:left w:w="75" w:type="dxa"/>
              <w:bottom w:w="75" w:type="dxa"/>
              <w:right w:w="75" w:type="dxa"/>
            </w:tcMar>
            <w:vAlign w:val="center"/>
          </w:tcPr>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杨凌示范区国土资源执法监察支队</w:t>
            </w:r>
          </w:p>
        </w:tc>
      </w:tr>
      <w:tr>
        <w:tblPrEx>
          <w:tblCellMar>
            <w:top w:w="0" w:type="dxa"/>
            <w:left w:w="108" w:type="dxa"/>
            <w:bottom w:w="0" w:type="dxa"/>
            <w:right w:w="108" w:type="dxa"/>
          </w:tblCellMar>
        </w:tblPrEx>
        <w:tc>
          <w:tcPr>
            <w:tcW w:w="1050" w:type="dxa"/>
            <w:tcBorders>
              <w:left w:val="single" w:color="000000" w:sz="6" w:space="0"/>
              <w:bottom w:val="single" w:color="888888" w:sz="6" w:space="0"/>
              <w:right w:val="single" w:color="888888" w:sz="6" w:space="0"/>
            </w:tcBorders>
            <w:shd w:val="solid" w:color="FFFFFF" w:fill="auto"/>
            <w:tcMar>
              <w:top w:w="75" w:type="dxa"/>
              <w:left w:w="75" w:type="dxa"/>
              <w:bottom w:w="75" w:type="dxa"/>
              <w:right w:w="75" w:type="dxa"/>
            </w:tcMar>
          </w:tcPr>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p>
        </w:tc>
        <w:tc>
          <w:tcPr>
            <w:tcW w:w="7470" w:type="dxa"/>
            <w:tcBorders>
              <w:bottom w:val="single" w:color="888888" w:sz="6" w:space="0"/>
              <w:right w:val="single" w:color="888888" w:sz="6" w:space="0"/>
            </w:tcBorders>
            <w:shd w:val="solid" w:color="FFFFFF" w:fill="auto"/>
            <w:tcMar>
              <w:top w:w="75" w:type="dxa"/>
              <w:left w:w="75" w:type="dxa"/>
              <w:bottom w:w="75" w:type="dxa"/>
              <w:right w:w="75" w:type="dxa"/>
            </w:tcMar>
            <w:vAlign w:val="center"/>
          </w:tcPr>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杨凌示范区不动产登记交易服务中心</w:t>
            </w:r>
          </w:p>
        </w:tc>
      </w:tr>
    </w:tbl>
    <w:p>
      <w:pPr>
        <w:ind w:firstLine="640"/>
        <w:rPr>
          <w:rFonts w:ascii="黑体" w:hAnsi="黑体" w:eastAsia="黑体"/>
          <w:bCs/>
          <w:sz w:val="32"/>
          <w:szCs w:val="32"/>
        </w:rPr>
      </w:pPr>
      <w:r>
        <w:rPr>
          <w:rFonts w:hint="eastAsia" w:ascii="黑体" w:hAnsi="黑体" w:eastAsia="黑体"/>
          <w:bCs/>
          <w:sz w:val="32"/>
          <w:szCs w:val="32"/>
        </w:rPr>
        <w:t>三、部门人员情况</w:t>
      </w:r>
    </w:p>
    <w:p>
      <w:pPr>
        <w:widowControl/>
        <w:ind w:firstLine="640"/>
        <w:rPr>
          <w:rFonts w:ascii="仿宋_GB2312" w:hAnsi="仿宋_GB2312" w:eastAsia="仿宋_GB2312" w:cs="仿宋_GB2312"/>
          <w:sz w:val="32"/>
          <w:szCs w:val="32"/>
        </w:rPr>
      </w:pPr>
      <w:r>
        <w:rPr>
          <w:rFonts w:ascii="仿宋_GB2312" w:hAnsi="仿宋_GB2312" w:eastAsia="仿宋_GB2312" w:cs="仿宋_GB2312"/>
          <w:sz w:val="32"/>
          <w:szCs w:val="32"/>
        </w:rPr>
        <w:t>截止201</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年底，部门所属单位，本部门人员编制</w:t>
      </w:r>
      <w:r>
        <w:rPr>
          <w:rFonts w:hint="eastAsia" w:ascii="仿宋_GB2312" w:hAnsi="仿宋_GB2312" w:eastAsia="仿宋_GB2312" w:cs="仿宋_GB2312"/>
          <w:sz w:val="32"/>
          <w:szCs w:val="32"/>
        </w:rPr>
        <w:t>28</w:t>
      </w:r>
      <w:r>
        <w:rPr>
          <w:rFonts w:ascii="仿宋_GB2312" w:hAnsi="仿宋_GB2312" w:eastAsia="仿宋_GB2312" w:cs="仿宋_GB2312"/>
          <w:sz w:val="32"/>
          <w:szCs w:val="32"/>
        </w:rPr>
        <w:t>人，其中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行政编制4人、聘任制人员</w:t>
      </w:r>
      <w:r>
        <w:rPr>
          <w:rFonts w:hint="eastAsia" w:ascii="仿宋_GB2312" w:hAnsi="仿宋_GB2312" w:eastAsia="仿宋_GB2312" w:cs="仿宋_GB2312"/>
          <w:sz w:val="32"/>
          <w:szCs w:val="32"/>
        </w:rPr>
        <w:t>8人、</w:t>
      </w:r>
      <w:r>
        <w:rPr>
          <w:rFonts w:ascii="仿宋_GB2312" w:hAnsi="仿宋_GB2312" w:eastAsia="仿宋_GB2312" w:cs="仿宋_GB2312"/>
          <w:sz w:val="32"/>
          <w:szCs w:val="32"/>
        </w:rPr>
        <w:t>事业编制16人；实有在职人员</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人，其中行政</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人、事业5人。</w:t>
      </w:r>
    </w:p>
    <w:p>
      <w:pPr>
        <w:widowControl/>
        <w:ind w:firstLine="640"/>
        <w:jc w:val="center"/>
        <w:rPr>
          <w:rFonts w:ascii="黑体" w:hAnsi="宋体" w:eastAsia="黑体"/>
          <w:color w:val="000000"/>
          <w:kern w:val="0"/>
          <w:sz w:val="44"/>
          <w:szCs w:val="44"/>
        </w:rPr>
      </w:pPr>
      <w:r>
        <w:drawing>
          <wp:inline distT="0" distB="0" distL="114300" distR="114300">
            <wp:extent cx="3610610" cy="2223770"/>
            <wp:effectExtent l="4445" t="4445" r="23495" b="1968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杨凌示范区自然资源和规划局</w:t>
      </w:r>
      <w:r>
        <w:rPr>
          <w:rFonts w:hint="eastAsia" w:ascii="宋体" w:hAnsi="宋体" w:cs="宋体"/>
          <w:b/>
          <w:bCs/>
          <w:szCs w:val="21"/>
        </w:rPr>
        <w:t xml:space="preserve">                                  金额单位：万元</w:t>
      </w:r>
    </w:p>
    <w:tbl>
      <w:tblPr>
        <w:tblStyle w:val="7"/>
        <w:tblW w:w="9204" w:type="dxa"/>
        <w:tblInd w:w="0" w:type="dxa"/>
        <w:tblLayout w:type="fixed"/>
        <w:tblCellMar>
          <w:top w:w="15" w:type="dxa"/>
          <w:left w:w="15" w:type="dxa"/>
          <w:bottom w:w="15" w:type="dxa"/>
          <w:right w:w="15" w:type="dxa"/>
        </w:tblCellMar>
      </w:tblPr>
      <w:tblGrid>
        <w:gridCol w:w="3009"/>
        <w:gridCol w:w="1459"/>
        <w:gridCol w:w="3090"/>
        <w:gridCol w:w="164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7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416</w:t>
            </w:r>
            <w:r>
              <w:rPr>
                <w:rFonts w:hint="eastAsia" w:ascii="宋体" w:hAnsi="宋体" w:cs="宋体"/>
                <w:color w:val="000000"/>
                <w:szCs w:val="21"/>
                <w:lang w:val="en-US" w:eastAsia="zh-CN"/>
              </w:rPr>
              <w:t>.</w:t>
            </w:r>
            <w:r>
              <w:rPr>
                <w:rFonts w:hint="eastAsia" w:ascii="宋体" w:hAnsi="宋体" w:cs="宋体"/>
                <w:color w:val="000000"/>
                <w:szCs w:val="21"/>
              </w:rPr>
              <w:t>35214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132456</w:t>
            </w:r>
            <w:r>
              <w:rPr>
                <w:rFonts w:hint="eastAsia" w:ascii="宋体" w:hAnsi="宋体" w:cs="宋体"/>
                <w:color w:val="000000"/>
                <w:szCs w:val="21"/>
                <w:lang w:val="en-US" w:eastAsia="zh-CN"/>
              </w:rPr>
              <w:t>.</w:t>
            </w:r>
            <w:r>
              <w:rPr>
                <w:rFonts w:hint="eastAsia" w:ascii="宋体" w:hAnsi="宋体" w:cs="宋体"/>
                <w:color w:val="000000"/>
                <w:szCs w:val="21"/>
              </w:rPr>
              <w:t>757291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459" w:type="dxa"/>
            <w:tcBorders>
              <w:top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459"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459"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21</w:t>
            </w:r>
            <w:r>
              <w:rPr>
                <w:rFonts w:hint="eastAsia" w:ascii="宋体" w:hAnsi="宋体" w:cs="宋体"/>
                <w:color w:val="000000"/>
                <w:szCs w:val="21"/>
                <w:lang w:val="en-US" w:eastAsia="zh-CN"/>
              </w:rPr>
              <w:t>.</w:t>
            </w:r>
            <w:r>
              <w:rPr>
                <w:rFonts w:hint="eastAsia" w:ascii="宋体" w:hAnsi="宋体" w:cs="宋体"/>
                <w:color w:val="000000"/>
                <w:szCs w:val="21"/>
              </w:rPr>
              <w:t>287468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459"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6.742776</w:t>
            </w:r>
          </w:p>
        </w:tc>
      </w:tr>
      <w:tr>
        <w:tblPrEx>
          <w:tblCellMar>
            <w:top w:w="15" w:type="dxa"/>
            <w:left w:w="15" w:type="dxa"/>
            <w:bottom w:w="15" w:type="dxa"/>
            <w:right w:w="15" w:type="dxa"/>
          </w:tblCellMar>
        </w:tblPrEx>
        <w:trPr>
          <w:trHeight w:val="249"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459"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30"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 </w:t>
            </w:r>
          </w:p>
        </w:tc>
        <w:tc>
          <w:tcPr>
            <w:tcW w:w="1459"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132456</w:t>
            </w:r>
            <w:r>
              <w:rPr>
                <w:rFonts w:hint="eastAsia" w:ascii="宋体" w:hAnsi="宋体" w:cs="宋体"/>
                <w:color w:val="000000"/>
                <w:szCs w:val="21"/>
                <w:lang w:val="en-US" w:eastAsia="zh-CN"/>
              </w:rPr>
              <w:t>.</w:t>
            </w:r>
            <w:r>
              <w:rPr>
                <w:rFonts w:hint="eastAsia" w:ascii="宋体" w:hAnsi="宋体" w:cs="宋体"/>
                <w:color w:val="000000"/>
                <w:szCs w:val="21"/>
              </w:rPr>
              <w:t>757291</w:t>
            </w:r>
          </w:p>
        </w:tc>
      </w:tr>
      <w:tr>
        <w:tblPrEx>
          <w:tblCellMar>
            <w:top w:w="15" w:type="dxa"/>
            <w:left w:w="15" w:type="dxa"/>
            <w:bottom w:w="15" w:type="dxa"/>
            <w:right w:w="15" w:type="dxa"/>
          </w:tblCellMar>
        </w:tblPrEx>
        <w:trPr>
          <w:trHeight w:val="300"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7"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2" w:hRule="atLeast"/>
        </w:trPr>
        <w:tc>
          <w:tcPr>
            <w:tcW w:w="300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2" w:hRule="atLeast"/>
        </w:trPr>
        <w:tc>
          <w:tcPr>
            <w:tcW w:w="300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98" w:hRule="atLeast"/>
        </w:trPr>
        <w:tc>
          <w:tcPr>
            <w:tcW w:w="300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5" w:hRule="atLeast"/>
        </w:trPr>
        <w:tc>
          <w:tcPr>
            <w:tcW w:w="300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81" w:hRule="atLeast"/>
        </w:trPr>
        <w:tc>
          <w:tcPr>
            <w:tcW w:w="300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328.272378</w:t>
            </w:r>
          </w:p>
        </w:tc>
      </w:tr>
      <w:tr>
        <w:tblPrEx>
          <w:tblCellMar>
            <w:top w:w="15" w:type="dxa"/>
            <w:left w:w="15" w:type="dxa"/>
            <w:bottom w:w="15" w:type="dxa"/>
            <w:right w:w="15" w:type="dxa"/>
          </w:tblCellMar>
        </w:tblPrEx>
        <w:trPr>
          <w:trHeight w:val="345" w:hRule="atLeast"/>
        </w:trPr>
        <w:tc>
          <w:tcPr>
            <w:tcW w:w="300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19.853712</w:t>
            </w:r>
          </w:p>
        </w:tc>
      </w:tr>
      <w:tr>
        <w:tblPrEx>
          <w:tblCellMar>
            <w:top w:w="15" w:type="dxa"/>
            <w:left w:w="15" w:type="dxa"/>
            <w:bottom w:w="15" w:type="dxa"/>
            <w:right w:w="15" w:type="dxa"/>
          </w:tblCellMar>
        </w:tblPrEx>
        <w:trPr>
          <w:trHeight w:val="312" w:hRule="atLeast"/>
        </w:trPr>
        <w:tc>
          <w:tcPr>
            <w:tcW w:w="300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87" w:hRule="atLeast"/>
        </w:trPr>
        <w:tc>
          <w:tcPr>
            <w:tcW w:w="300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w:t>
            </w:r>
          </w:p>
        </w:tc>
      </w:tr>
      <w:tr>
        <w:tblPrEx>
          <w:tblCellMar>
            <w:top w:w="15" w:type="dxa"/>
            <w:left w:w="15" w:type="dxa"/>
            <w:bottom w:w="15" w:type="dxa"/>
            <w:right w:w="15" w:type="dxa"/>
          </w:tblCellMar>
        </w:tblPrEx>
        <w:trPr>
          <w:trHeight w:val="287" w:hRule="atLeast"/>
        </w:trPr>
        <w:tc>
          <w:tcPr>
            <w:tcW w:w="300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415" w:hRule="atLeast"/>
        </w:trPr>
        <w:tc>
          <w:tcPr>
            <w:tcW w:w="3009"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459"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132894.396899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64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bCs w:val="0"/>
                <w:color w:val="000000"/>
                <w:szCs w:val="21"/>
              </w:rPr>
              <w:t>132861.626157</w:t>
            </w:r>
          </w:p>
        </w:tc>
      </w:tr>
      <w:tr>
        <w:tblPrEx>
          <w:tblCellMar>
            <w:top w:w="15" w:type="dxa"/>
            <w:left w:w="15" w:type="dxa"/>
            <w:bottom w:w="15" w:type="dxa"/>
            <w:right w:w="15" w:type="dxa"/>
          </w:tblCellMar>
        </w:tblPrEx>
        <w:trPr>
          <w:trHeight w:val="355"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646" w:type="dxa"/>
            <w:tcBorders>
              <w:top w:val="single" w:color="000000" w:sz="4" w:space="0"/>
              <w:left w:val="single" w:color="000000" w:sz="4" w:space="0"/>
              <w:bottom w:val="single" w:color="000000" w:sz="4" w:space="0"/>
              <w:right w:val="single" w:color="000000" w:sz="4" w:space="0"/>
            </w:tcBorders>
            <w:vAlign w:val="bottom"/>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0.00</w:t>
            </w:r>
          </w:p>
        </w:tc>
      </w:tr>
      <w:tr>
        <w:tblPrEx>
          <w:tblCellMar>
            <w:top w:w="15" w:type="dxa"/>
            <w:left w:w="15" w:type="dxa"/>
            <w:bottom w:w="15" w:type="dxa"/>
            <w:right w:w="15" w:type="dxa"/>
          </w:tblCellMar>
        </w:tblPrEx>
        <w:trPr>
          <w:trHeight w:val="371"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81.366667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6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114.137409</w:t>
            </w:r>
          </w:p>
        </w:tc>
      </w:tr>
      <w:tr>
        <w:tblPrEx>
          <w:tblCellMar>
            <w:top w:w="15" w:type="dxa"/>
            <w:left w:w="15" w:type="dxa"/>
            <w:bottom w:w="15" w:type="dxa"/>
            <w:right w:w="15" w:type="dxa"/>
          </w:tblCellMar>
        </w:tblPrEx>
        <w:trPr>
          <w:trHeight w:val="382" w:hRule="atLeast"/>
        </w:trPr>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132975.763566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6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132975.763566</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杨凌示范区自然资源和规划局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917" w:type="dxa"/>
        <w:tblInd w:w="0" w:type="dxa"/>
        <w:tblLayout w:type="fixed"/>
        <w:tblCellMar>
          <w:top w:w="15" w:type="dxa"/>
          <w:left w:w="15" w:type="dxa"/>
          <w:bottom w:w="15" w:type="dxa"/>
          <w:right w:w="15" w:type="dxa"/>
        </w:tblCellMar>
      </w:tblPr>
      <w:tblGrid>
        <w:gridCol w:w="932"/>
        <w:gridCol w:w="760"/>
        <w:gridCol w:w="860"/>
        <w:gridCol w:w="875"/>
        <w:gridCol w:w="724"/>
        <w:gridCol w:w="724"/>
        <w:gridCol w:w="1479"/>
        <w:gridCol w:w="754"/>
        <w:gridCol w:w="995"/>
        <w:gridCol w:w="814"/>
      </w:tblGrid>
      <w:tr>
        <w:tblPrEx>
          <w:tblCellMar>
            <w:top w:w="15" w:type="dxa"/>
            <w:left w:w="15" w:type="dxa"/>
            <w:bottom w:w="15" w:type="dxa"/>
            <w:right w:w="15" w:type="dxa"/>
          </w:tblCellMar>
        </w:tblPrEx>
        <w:trPr>
          <w:trHeight w:val="459" w:hRule="atLeast"/>
        </w:trPr>
        <w:tc>
          <w:tcPr>
            <w:tcW w:w="16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14" w:hRule="atLeast"/>
        </w:trPr>
        <w:tc>
          <w:tcPr>
            <w:tcW w:w="93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6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641" w:hRule="atLeast"/>
        </w:trPr>
        <w:tc>
          <w:tcPr>
            <w:tcW w:w="16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132894.396899</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132873.109431</w:t>
            </w: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rPr>
              <w:t>21.287468</w:t>
            </w: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9"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hint="eastAsia"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widowControl/>
        <w:jc w:val="left"/>
        <w:rPr>
          <w:rFonts w:hint="eastAsia" w:ascii="宋体" w:hAnsi="宋体" w:cs="宋体"/>
          <w:color w:val="000000"/>
          <w:kern w:val="0"/>
          <w:szCs w:val="21"/>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杨凌示范区自然资源和规划局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132861.626157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221.317608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132640.308549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32"/>
          <w:szCs w:val="32"/>
        </w:rPr>
      </w:pPr>
      <w:r>
        <w:rPr>
          <w:rFonts w:hint="eastAsia" w:ascii="宋体" w:hAnsi="宋体" w:cs="宋体"/>
          <w:b/>
          <w:bCs/>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416.35214</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132456.757291</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6.742776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6.742776</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132456.757291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132456.757291</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rPr>
              <w:t>295.618243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rPr>
              <w:t>295.618243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19.853712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19.853712</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1102"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132873.109431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132828.972022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372.214731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132456.757291</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70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114.137409</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114.137409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70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132943.109431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132943.109431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486.35214</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132456.757291</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372.214731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200.03014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188.282944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11.747196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172.184591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20106</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财政事务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2010601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1734336.52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1616864.56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rPr>
            </w:pPr>
            <w:r>
              <w:rPr>
                <w:rFonts w:hint="eastAsia" w:ascii="宋体" w:hAnsi="宋体" w:eastAsia="宋体" w:cs="宋体"/>
                <w:color w:val="000000"/>
                <w:szCs w:val="21"/>
              </w:rPr>
              <w:t>1882829.44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rPr>
            </w:pPr>
            <w:r>
              <w:rPr>
                <w:rFonts w:hint="eastAsia" w:ascii="宋体" w:hAnsi="宋体" w:eastAsia="宋体" w:cs="宋体"/>
                <w:color w:val="000000"/>
                <w:szCs w:val="21"/>
              </w:rPr>
              <w:t>37</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0553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rPr>
            </w:pPr>
            <w:r>
              <w:rPr>
                <w:rFonts w:hint="eastAsia" w:ascii="宋体" w:hAnsi="宋体" w:eastAsia="宋体" w:cs="宋体"/>
                <w:color w:val="000000"/>
                <w:szCs w:val="21"/>
              </w:rPr>
              <w:t>39</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7798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rPr>
            </w:pPr>
            <w:r>
              <w:rPr>
                <w:rFonts w:hint="eastAsia" w:ascii="宋体" w:hAnsi="宋体" w:eastAsia="宋体" w:cs="宋体"/>
              </w:rPr>
              <w:t>166.585922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5.45625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r>
              <w:rPr>
                <w:rFonts w:hint="eastAsia" w:ascii="宋体" w:hAnsi="宋体" w:cs="宋体"/>
                <w:color w:val="000000"/>
                <w:szCs w:val="21"/>
              </w:rPr>
              <w:t>.69978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其他资本性支出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31002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房屋建筑物购建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31003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w:t>
            </w:r>
            <w:r>
              <w:rPr>
                <w:rFonts w:hint="eastAsia" w:ascii="宋体" w:hAnsi="宋体" w:cs="宋体"/>
                <w:color w:val="000000"/>
                <w:szCs w:val="21"/>
                <w:lang w:val="en-US" w:eastAsia="zh-CN"/>
              </w:rPr>
              <w:t>.</w:t>
            </w:r>
            <w:r>
              <w:rPr>
                <w:rFonts w:hint="eastAsia" w:ascii="宋体" w:hAnsi="宋体" w:cs="宋体"/>
                <w:color w:val="000000"/>
                <w:szCs w:val="21"/>
              </w:rPr>
              <w:t>8628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3</w:t>
            </w:r>
          </w:p>
        </w:tc>
      </w:tr>
      <w:tr>
        <w:tblPrEx>
          <w:tblCellMar>
            <w:top w:w="15" w:type="dxa"/>
            <w:left w:w="15" w:type="dxa"/>
            <w:bottom w:w="15" w:type="dxa"/>
            <w:right w:w="15" w:type="dxa"/>
          </w:tblCellMar>
        </w:tblPrEx>
        <w:trPr>
          <w:trHeight w:val="753"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3.3293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0.639</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132456.757291</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kern w:val="2"/>
                <w:sz w:val="21"/>
                <w:szCs w:val="21"/>
                <w:lang w:val="en-US" w:eastAsia="zh-CN" w:bidi="ar-SA"/>
              </w:rPr>
            </w:pPr>
            <w:r>
              <w:rPr>
                <w:rFonts w:hint="eastAsia" w:ascii="宋体" w:hAnsi="宋体" w:cs="宋体"/>
                <w:b/>
                <w:color w:val="000000"/>
                <w:szCs w:val="21"/>
              </w:rPr>
              <w:t>132456.757291</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kern w:val="2"/>
                <w:sz w:val="21"/>
                <w:szCs w:val="21"/>
                <w:lang w:val="en-US" w:eastAsia="zh-CN" w:bidi="ar-SA"/>
              </w:rPr>
            </w:pPr>
            <w:r>
              <w:rPr>
                <w:rFonts w:hint="eastAsia" w:ascii="宋体" w:hAnsi="宋体" w:cs="宋体"/>
                <w:b/>
                <w:color w:val="000000"/>
                <w:szCs w:val="21"/>
              </w:rPr>
              <w:t>132456.757291</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szCs w:val="21"/>
        </w:r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2019年收入</w:t>
      </w:r>
      <w:r>
        <w:rPr>
          <w:rFonts w:hint="eastAsia" w:ascii="仿宋_GB2312" w:hAnsi="仿宋" w:eastAsia="仿宋_GB2312"/>
          <w:sz w:val="32"/>
          <w:szCs w:val="32"/>
          <w:lang w:eastAsia="zh-CN"/>
        </w:rPr>
        <w:t>本年合计1328943968.99元，较</w:t>
      </w:r>
      <w:r>
        <w:rPr>
          <w:rFonts w:hint="eastAsia" w:ascii="仿宋_GB2312" w:hAnsi="仿宋" w:eastAsia="仿宋_GB2312"/>
          <w:sz w:val="32"/>
          <w:szCs w:val="32"/>
        </w:rPr>
        <w:t>上年增长</w:t>
      </w:r>
      <w:r>
        <w:rPr>
          <w:rFonts w:hint="eastAsia" w:ascii="仿宋_GB2312" w:hAnsi="仿宋" w:eastAsia="仿宋_GB2312"/>
          <w:sz w:val="32"/>
          <w:szCs w:val="32"/>
          <w:lang w:val="en-US" w:eastAsia="zh-CN"/>
        </w:rPr>
        <w:t>1323730468.99元</w:t>
      </w:r>
      <w:r>
        <w:rPr>
          <w:rFonts w:hint="eastAsia" w:ascii="仿宋_GB2312" w:hAnsi="仿宋" w:eastAsia="仿宋_GB2312"/>
          <w:sz w:val="32"/>
          <w:szCs w:val="32"/>
        </w:rPr>
        <w:t>，</w:t>
      </w:r>
      <w:r>
        <w:rPr>
          <w:rFonts w:hint="eastAsia" w:ascii="仿宋_GB2312" w:hAnsi="仿宋" w:eastAsia="仿宋_GB2312"/>
          <w:sz w:val="32"/>
          <w:szCs w:val="32"/>
          <w:lang w:eastAsia="zh-CN"/>
        </w:rPr>
        <w:t>主要增长的原因为</w:t>
      </w:r>
      <w:r>
        <w:rPr>
          <w:rFonts w:hint="eastAsia" w:ascii="仿宋_GB2312" w:hAnsi="仿宋" w:eastAsia="仿宋_GB2312"/>
          <w:sz w:val="32"/>
          <w:szCs w:val="32"/>
          <w:lang w:val="en-US" w:eastAsia="zh-CN"/>
        </w:rPr>
        <w:t>2019年将直接支付单位资金纳入本单位核算</w:t>
      </w:r>
      <w:r>
        <w:rPr>
          <w:rFonts w:hint="eastAsia" w:ascii="仿宋_GB2312" w:hAnsi="仿宋" w:eastAsia="仿宋_GB2312"/>
          <w:sz w:val="32"/>
          <w:szCs w:val="32"/>
        </w:rPr>
        <w:t>。</w:t>
      </w:r>
    </w:p>
    <w:p>
      <w:pPr>
        <w:widowControl/>
        <w:ind w:firstLine="420" w:firstLineChars="200"/>
        <w:jc w:val="center"/>
        <w:rPr>
          <w:rFonts w:hint="eastAsia" w:ascii="仿宋_GB2312" w:hAnsi="仿宋" w:eastAsia="仿宋_GB2312"/>
          <w:sz w:val="32"/>
          <w:szCs w:val="32"/>
        </w:rPr>
      </w:pPr>
      <w:r>
        <w:drawing>
          <wp:inline distT="0" distB="0" distL="114300" distR="114300">
            <wp:extent cx="2908935" cy="2155190"/>
            <wp:effectExtent l="5080" t="4445" r="19685" b="1206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2019年支出</w:t>
      </w:r>
      <w:r>
        <w:rPr>
          <w:rFonts w:hint="eastAsia" w:ascii="仿宋_GB2312" w:hAnsi="仿宋" w:eastAsia="仿宋_GB2312"/>
          <w:sz w:val="32"/>
          <w:szCs w:val="32"/>
          <w:lang w:eastAsia="zh-CN"/>
        </w:rPr>
        <w:t>合计1324567572.91元，较</w:t>
      </w:r>
      <w:r>
        <w:rPr>
          <w:rFonts w:hint="eastAsia" w:ascii="仿宋_GB2312" w:hAnsi="仿宋" w:eastAsia="仿宋_GB2312"/>
          <w:sz w:val="32"/>
          <w:szCs w:val="32"/>
        </w:rPr>
        <w:t>比上年增长</w:t>
      </w:r>
      <w:r>
        <w:rPr>
          <w:rFonts w:hint="eastAsia" w:ascii="仿宋_GB2312" w:hAnsi="仿宋" w:eastAsia="仿宋_GB2312"/>
          <w:sz w:val="32"/>
          <w:szCs w:val="32"/>
          <w:lang w:val="en-US" w:eastAsia="zh-CN"/>
        </w:rPr>
        <w:t>1320167772.91元</w:t>
      </w:r>
      <w:r>
        <w:rPr>
          <w:rFonts w:hint="eastAsia" w:ascii="仿宋_GB2312" w:hAnsi="仿宋" w:eastAsia="仿宋_GB2312"/>
          <w:sz w:val="32"/>
          <w:szCs w:val="32"/>
        </w:rPr>
        <w:t>，</w:t>
      </w:r>
      <w:r>
        <w:rPr>
          <w:rFonts w:hint="eastAsia" w:ascii="仿宋_GB2312" w:hAnsi="仿宋" w:eastAsia="仿宋_GB2312"/>
          <w:sz w:val="32"/>
          <w:szCs w:val="32"/>
          <w:lang w:eastAsia="zh-CN"/>
        </w:rPr>
        <w:t>主要增长的原因为土地收储及征地补偿、自然资源、灾害防治等支出</w:t>
      </w:r>
      <w:r>
        <w:rPr>
          <w:rFonts w:hint="eastAsia" w:ascii="仿宋_GB2312" w:hAnsi="仿宋" w:eastAsia="仿宋_GB2312"/>
          <w:sz w:val="32"/>
          <w:szCs w:val="32"/>
        </w:rPr>
        <w:t>。</w:t>
      </w:r>
    </w:p>
    <w:p>
      <w:pPr>
        <w:widowControl/>
        <w:ind w:firstLine="420" w:firstLineChars="200"/>
        <w:jc w:val="center"/>
        <w:rPr>
          <w:rFonts w:hint="eastAsia" w:ascii="仿宋_GB2312" w:hAnsi="仿宋" w:eastAsia="仿宋_GB2312"/>
          <w:sz w:val="32"/>
          <w:szCs w:val="32"/>
          <w:lang w:eastAsia="zh-CN"/>
        </w:rPr>
      </w:pPr>
      <w:r>
        <w:drawing>
          <wp:inline distT="0" distB="0" distL="114300" distR="114300">
            <wp:extent cx="3056890" cy="2008505"/>
            <wp:effectExtent l="4445" t="4445" r="5715" b="6350"/>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132894.396899</w:t>
      </w:r>
      <w:r>
        <w:rPr>
          <w:rFonts w:ascii="仿宋_GB2312" w:hAnsi="宋体" w:eastAsia="仿宋_GB2312" w:cs="仿宋_GB2312"/>
          <w:color w:val="000000"/>
          <w:kern w:val="0"/>
          <w:sz w:val="32"/>
          <w:szCs w:val="32"/>
        </w:rPr>
        <w:t>元</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其中：财政拨款收入</w:t>
      </w:r>
      <w:r>
        <w:rPr>
          <w:rFonts w:hint="eastAsia" w:ascii="仿宋_GB2312" w:hAnsi="宋体" w:eastAsia="仿宋_GB2312" w:cs="仿宋_GB2312"/>
          <w:color w:val="000000"/>
          <w:kern w:val="0"/>
          <w:sz w:val="32"/>
          <w:szCs w:val="32"/>
        </w:rPr>
        <w:t>132456.757291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主要原因为将直接支付单位资金纳入本单位核算。</w:t>
      </w:r>
      <w:r>
        <w:rPr>
          <w:rFonts w:ascii="仿宋_GB2312" w:hAnsi="宋体" w:eastAsia="仿宋_GB2312" w:cs="仿宋_GB2312"/>
          <w:color w:val="000000"/>
          <w:kern w:val="0"/>
          <w:sz w:val="32"/>
          <w:szCs w:val="32"/>
        </w:rPr>
        <w:t>占</w:t>
      </w:r>
      <w:r>
        <w:rPr>
          <w:rFonts w:hint="eastAsia" w:ascii="仿宋_GB2312" w:hAnsi="宋体" w:eastAsia="仿宋_GB2312" w:cs="仿宋_GB2312"/>
          <w:color w:val="000000"/>
          <w:kern w:val="0"/>
          <w:sz w:val="32"/>
          <w:szCs w:val="32"/>
          <w:lang w:val="en-US" w:eastAsia="zh-CN"/>
        </w:rPr>
        <w:t>99.6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一</w:t>
      </w:r>
      <w:r>
        <w:rPr>
          <w:rFonts w:hint="default" w:ascii="仿宋_GB2312" w:hAnsi="仿宋_GB2312" w:eastAsia="仿宋_GB2312" w:cs="仿宋_GB2312"/>
          <w:sz w:val="32"/>
          <w:szCs w:val="32"/>
          <w:highlight w:val="none"/>
          <w:lang w:val="en-US" w:eastAsia="zh-CN"/>
        </w:rPr>
        <w:t>般</w:t>
      </w:r>
      <w:r>
        <w:rPr>
          <w:rFonts w:hint="eastAsia" w:ascii="仿宋_GB2312" w:hAnsi="仿宋_GB2312" w:eastAsia="仿宋_GB2312" w:cs="仿宋_GB2312"/>
          <w:sz w:val="32"/>
          <w:szCs w:val="32"/>
          <w:highlight w:val="none"/>
          <w:lang w:val="en-US" w:eastAsia="zh-CN"/>
        </w:rPr>
        <w:t>公共</w:t>
      </w:r>
      <w:r>
        <w:rPr>
          <w:rFonts w:hint="default" w:ascii="仿宋_GB2312" w:hAnsi="仿宋_GB2312" w:eastAsia="仿宋_GB2312" w:cs="仿宋_GB2312"/>
          <w:sz w:val="32"/>
          <w:szCs w:val="32"/>
          <w:highlight w:val="none"/>
          <w:lang w:val="en-US" w:eastAsia="zh-CN"/>
        </w:rPr>
        <w:t>预算财政拨款</w:t>
      </w:r>
      <w:r>
        <w:rPr>
          <w:rFonts w:hint="eastAsia" w:ascii="仿宋_GB2312" w:hAnsi="仿宋_GB2312" w:eastAsia="仿宋_GB2312" w:cs="仿宋_GB2312"/>
          <w:sz w:val="32"/>
          <w:szCs w:val="32"/>
          <w:highlight w:val="none"/>
          <w:lang w:val="en-US" w:eastAsia="zh-CN"/>
        </w:rPr>
        <w:t>收入：416.35214万元。占0.031</w:t>
      </w:r>
      <w:r>
        <w:rPr>
          <w:rFonts w:ascii="仿宋_GB2312" w:hAnsi="宋体" w:eastAsia="仿宋_GB2312" w:cs="仿宋_GB2312"/>
          <w:color w:val="000000"/>
          <w:kern w:val="0"/>
          <w:sz w:val="32"/>
          <w:szCs w:val="32"/>
        </w:rPr>
        <w:t>%</w:t>
      </w:r>
      <w:r>
        <w:rPr>
          <w:rFonts w:hint="eastAsia" w:ascii="仿宋_GB2312" w:hAnsi="仿宋_GB2312" w:eastAsia="仿宋_GB2312" w:cs="仿宋_GB2312"/>
          <w:sz w:val="32"/>
          <w:szCs w:val="32"/>
          <w:highlight w:val="none"/>
          <w:lang w:val="en-US" w:eastAsia="zh-CN"/>
        </w:rPr>
        <w:t>占</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21.287468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主要为省农林局拨来示范园区奖励资金，</w:t>
      </w:r>
      <w:r>
        <w:rPr>
          <w:rFonts w:ascii="仿宋_GB2312" w:hAnsi="宋体" w:eastAsia="仿宋_GB2312" w:cs="仿宋_GB2312"/>
          <w:color w:val="000000"/>
          <w:kern w:val="0"/>
          <w:sz w:val="32"/>
          <w:szCs w:val="32"/>
        </w:rPr>
        <w:t>占</w:t>
      </w:r>
      <w:r>
        <w:rPr>
          <w:rFonts w:hint="eastAsia" w:ascii="仿宋_GB2312" w:hAnsi="宋体" w:eastAsia="仿宋_GB2312" w:cs="仿宋_GB2312"/>
          <w:color w:val="000000"/>
          <w:kern w:val="0"/>
          <w:sz w:val="32"/>
          <w:szCs w:val="32"/>
          <w:lang w:val="en-US" w:eastAsia="zh-CN"/>
        </w:rPr>
        <w:t>0.009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420" w:firstLineChars="200"/>
        <w:jc w:val="center"/>
        <w:rPr>
          <w:rFonts w:hint="eastAsia" w:ascii="仿宋_GB2312" w:hAnsi="宋体" w:eastAsia="仿宋_GB2312" w:cs="仿宋_GB2312"/>
          <w:color w:val="000000"/>
          <w:kern w:val="0"/>
          <w:sz w:val="32"/>
          <w:szCs w:val="32"/>
        </w:rPr>
      </w:pPr>
      <w:r>
        <w:drawing>
          <wp:inline distT="0" distB="0" distL="114300" distR="114300">
            <wp:extent cx="2806700" cy="1913255"/>
            <wp:effectExtent l="4445" t="4445" r="8255" b="635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132861.626157</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221.317608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0.0017</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132</w:t>
      </w:r>
      <w:r>
        <w:rPr>
          <w:rFonts w:hint="eastAsia" w:ascii="仿宋_GB2312" w:hAnsi="宋体" w:eastAsia="仿宋_GB2312" w:cs="仿宋_GB2312"/>
          <w:color w:val="000000"/>
          <w:kern w:val="0"/>
          <w:sz w:val="32"/>
          <w:szCs w:val="32"/>
          <w:lang w:val="en-US" w:eastAsia="zh-CN"/>
        </w:rPr>
        <w:t>640</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3085</w:t>
      </w:r>
      <w:r>
        <w:rPr>
          <w:rFonts w:hint="eastAsia" w:ascii="仿宋_GB2312" w:hAnsi="宋体" w:eastAsia="仿宋_GB2312" w:cs="仿宋_GB2312"/>
          <w:color w:val="000000"/>
          <w:kern w:val="0"/>
          <w:sz w:val="32"/>
          <w:szCs w:val="32"/>
        </w:rPr>
        <w:t>57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99.83</w:t>
      </w:r>
      <w:r>
        <w:rPr>
          <w:rFonts w:ascii="仿宋_GB2312" w:hAnsi="宋体" w:eastAsia="仿宋_GB2312" w:cs="仿宋_GB2312"/>
          <w:color w:val="000000"/>
          <w:kern w:val="0"/>
          <w:sz w:val="32"/>
          <w:szCs w:val="32"/>
        </w:rPr>
        <w:t>%。</w:t>
      </w:r>
    </w:p>
    <w:p>
      <w:pPr>
        <w:widowControl/>
        <w:ind w:firstLine="420" w:firstLineChars="200"/>
        <w:jc w:val="center"/>
        <w:rPr>
          <w:rFonts w:ascii="仿宋_GB2312" w:hAnsi="宋体" w:eastAsia="仿宋_GB2312" w:cs="仿宋_GB2312"/>
          <w:color w:val="000000"/>
          <w:kern w:val="0"/>
          <w:sz w:val="32"/>
          <w:szCs w:val="32"/>
        </w:rPr>
      </w:pPr>
      <w:r>
        <w:drawing>
          <wp:inline distT="0" distB="0" distL="114300" distR="114300">
            <wp:extent cx="2676525" cy="1852930"/>
            <wp:effectExtent l="4445" t="4445" r="5080" b="952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收入总体情况及比上年</w:t>
      </w:r>
      <w:r>
        <w:rPr>
          <w:rFonts w:hint="eastAsia" w:ascii="仿宋_GB2312" w:hAnsi="仿宋" w:eastAsia="仿宋_GB2312"/>
          <w:sz w:val="32"/>
          <w:szCs w:val="32"/>
          <w:lang w:eastAsia="zh-CN"/>
        </w:rPr>
        <w:t>有所增长</w:t>
      </w:r>
      <w:r>
        <w:rPr>
          <w:rFonts w:hint="eastAsia" w:ascii="仿宋_GB2312" w:hAnsi="仿宋" w:eastAsia="仿宋_GB2312"/>
          <w:sz w:val="32"/>
          <w:szCs w:val="32"/>
        </w:rPr>
        <w:t>，</w:t>
      </w:r>
      <w:r>
        <w:rPr>
          <w:rFonts w:hint="eastAsia" w:ascii="仿宋_GB2312" w:hAnsi="仿宋" w:eastAsia="仿宋_GB2312"/>
          <w:sz w:val="32"/>
          <w:szCs w:val="32"/>
          <w:lang w:eastAsia="zh-CN"/>
        </w:rPr>
        <w:t>增长的原因为将直接支付单位资金纳入本单位核算</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支出总体情况及比上年</w:t>
      </w:r>
      <w:r>
        <w:rPr>
          <w:rFonts w:hint="eastAsia" w:ascii="仿宋_GB2312" w:hAnsi="仿宋" w:eastAsia="仿宋_GB2312"/>
          <w:sz w:val="32"/>
          <w:szCs w:val="32"/>
          <w:lang w:eastAsia="zh-CN"/>
        </w:rPr>
        <w:t>有所</w:t>
      </w:r>
      <w:r>
        <w:rPr>
          <w:rFonts w:hint="eastAsia" w:ascii="仿宋_GB2312" w:hAnsi="仿宋" w:eastAsia="仿宋_GB2312"/>
          <w:sz w:val="32"/>
          <w:szCs w:val="32"/>
        </w:rPr>
        <w:t>增长，增减的主要原因</w:t>
      </w:r>
      <w:r>
        <w:rPr>
          <w:rFonts w:hint="eastAsia" w:ascii="仿宋_GB2312" w:hAnsi="仿宋" w:eastAsia="仿宋_GB2312"/>
          <w:sz w:val="32"/>
          <w:szCs w:val="32"/>
          <w:lang w:eastAsia="zh-CN"/>
        </w:rPr>
        <w:t>为城乡社区、自然资源、灾害防治等支出</w:t>
      </w:r>
      <w:r>
        <w:rPr>
          <w:rFonts w:hint="eastAsia" w:ascii="仿宋_GB2312" w:hAnsi="仿宋" w:eastAsia="仿宋_GB2312"/>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2019年财政拨款支出</w:t>
      </w:r>
      <w:r>
        <w:rPr>
          <w:rFonts w:hint="eastAsia" w:ascii="仿宋_GB2312" w:hAnsi="宋体" w:eastAsia="仿宋_GB2312" w:cs="仿宋_GB2312"/>
          <w:color w:val="000000"/>
          <w:kern w:val="0"/>
          <w:sz w:val="32"/>
          <w:szCs w:val="32"/>
        </w:rPr>
        <w:t>1328616261</w:t>
      </w:r>
      <w:r>
        <w:rPr>
          <w:rFonts w:hint="eastAsia" w:ascii="仿宋_GB2312" w:hAnsi="宋体" w:eastAsia="仿宋_GB2312" w:cs="仿宋_GB2312"/>
          <w:color w:val="000000"/>
          <w:kern w:val="0"/>
          <w:sz w:val="32"/>
          <w:szCs w:val="32"/>
          <w:lang w:val="en-US" w:eastAsia="zh-CN"/>
        </w:rPr>
        <w:t>.</w:t>
      </w:r>
      <w:r>
        <w:rPr>
          <w:rFonts w:hint="eastAsia" w:ascii="仿宋_GB2312" w:hAnsi="宋体" w:eastAsia="仿宋_GB2312" w:cs="仿宋_GB2312"/>
          <w:color w:val="000000"/>
          <w:kern w:val="0"/>
          <w:sz w:val="32"/>
          <w:szCs w:val="32"/>
        </w:rPr>
        <w:t>57</w:t>
      </w:r>
      <w:r>
        <w:rPr>
          <w:rFonts w:ascii="仿宋_GB2312" w:hAnsi="宋体" w:eastAsia="仿宋_GB2312" w:cs="仿宋_GB2312"/>
          <w:color w:val="000000"/>
          <w:kern w:val="0"/>
          <w:sz w:val="32"/>
          <w:szCs w:val="32"/>
        </w:rPr>
        <w:t>元，占本年支出合计的</w:t>
      </w:r>
      <w:r>
        <w:rPr>
          <w:rFonts w:hint="eastAsia" w:ascii="仿宋_GB2312" w:hAnsi="宋体" w:eastAsia="仿宋_GB2312" w:cs="仿宋_GB2312"/>
          <w:color w:val="000000"/>
          <w:kern w:val="0"/>
          <w:sz w:val="32"/>
          <w:szCs w:val="32"/>
          <w:lang w:val="en-US" w:eastAsia="zh-CN"/>
        </w:rPr>
        <w:t>99</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lang w:val="en-US" w:eastAsia="zh-CN"/>
        </w:rPr>
        <w:t>1323402761.57</w:t>
      </w:r>
      <w:r>
        <w:rPr>
          <w:rFonts w:ascii="仿宋_GB2312" w:hAnsi="宋体" w:eastAsia="仿宋_GB2312" w:cs="仿宋_GB2312"/>
          <w:color w:val="000000"/>
          <w:kern w:val="0"/>
          <w:sz w:val="32"/>
          <w:szCs w:val="32"/>
        </w:rPr>
        <w:t>元，增长</w:t>
      </w:r>
      <w:r>
        <w:rPr>
          <w:rFonts w:hint="eastAsia" w:ascii="仿宋_GB2312" w:hAnsi="宋体" w:eastAsia="仿宋_GB2312" w:cs="仿宋_GB2312"/>
          <w:color w:val="000000"/>
          <w:kern w:val="0"/>
          <w:sz w:val="32"/>
          <w:szCs w:val="32"/>
          <w:lang w:val="en-US" w:eastAsia="zh-CN"/>
        </w:rPr>
        <w:t>99</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宋体" w:eastAsia="仿宋_GB2312" w:cs="仿宋_GB2312"/>
          <w:color w:val="000000"/>
          <w:kern w:val="0"/>
          <w:sz w:val="32"/>
          <w:szCs w:val="32"/>
          <w:lang w:eastAsia="zh-CN"/>
        </w:rPr>
        <w:t>主要支出为</w:t>
      </w:r>
      <w:r>
        <w:rPr>
          <w:rFonts w:hint="eastAsia" w:ascii="仿宋_GB2312" w:hAnsi="仿宋" w:eastAsia="仿宋_GB2312"/>
          <w:sz w:val="32"/>
          <w:szCs w:val="32"/>
          <w:lang w:eastAsia="zh-CN"/>
        </w:rPr>
        <w:t>土地收储及征地补偿、城乡社区、自然资源、灾害防治等支出</w:t>
      </w:r>
      <w:r>
        <w:rPr>
          <w:rFonts w:hint="eastAsia" w:ascii="仿宋_GB2312" w:hAnsi="宋体" w:eastAsia="仿宋_GB2312" w:cs="仿宋_GB2312"/>
          <w:color w:val="000000"/>
          <w:kern w:val="0"/>
          <w:sz w:val="32"/>
          <w:szCs w:val="32"/>
        </w:rPr>
        <w:t>。</w:t>
      </w:r>
    </w:p>
    <w:p>
      <w:pPr>
        <w:widowControl/>
        <w:jc w:val="center"/>
        <w:rPr>
          <w:rFonts w:hint="eastAsia" w:ascii="仿宋_GB2312" w:hAnsi="宋体" w:eastAsia="仿宋_GB2312" w:cs="仿宋_GB2312"/>
          <w:color w:val="000000"/>
          <w:kern w:val="0"/>
          <w:sz w:val="32"/>
          <w:szCs w:val="32"/>
        </w:rPr>
      </w:pPr>
      <w:r>
        <w:drawing>
          <wp:inline distT="0" distB="0" distL="114300" distR="114300">
            <wp:extent cx="3645535" cy="2146300"/>
            <wp:effectExtent l="4445" t="4445" r="7620" b="2095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hint="eastAsia" w:eastAsia="仿宋_GB2312"/>
          <w:lang w:eastAsia="zh-CN"/>
        </w:rPr>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rPr>
        <w:t>24744.040997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调整预算数为132975.763566万元，</w:t>
      </w:r>
      <w:r>
        <w:rPr>
          <w:rFonts w:ascii="仿宋_GB2312" w:hAnsi="宋体" w:eastAsia="仿宋_GB2312" w:cs="仿宋_GB2312"/>
          <w:color w:val="000000"/>
          <w:kern w:val="0"/>
          <w:sz w:val="32"/>
          <w:szCs w:val="32"/>
        </w:rPr>
        <w:t>支出决算为</w:t>
      </w:r>
      <w:r>
        <w:rPr>
          <w:rFonts w:hint="eastAsia" w:ascii="仿宋_GB2312" w:hAnsi="宋体" w:eastAsia="仿宋_GB2312" w:cs="仿宋_GB2312"/>
          <w:color w:val="000000"/>
          <w:kern w:val="0"/>
          <w:sz w:val="32"/>
          <w:szCs w:val="32"/>
        </w:rPr>
        <w:t>132861.626157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99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w:t>
      </w:r>
      <w:r>
        <w:rPr>
          <w:rFonts w:hint="eastAsia" w:ascii="仿宋_GB2312" w:hAnsi="宋体" w:eastAsia="仿宋_GB2312" w:cs="仿宋_GB2312"/>
          <w:color w:val="000000"/>
          <w:kern w:val="0"/>
          <w:sz w:val="32"/>
          <w:szCs w:val="32"/>
          <w:lang w:eastAsia="zh-CN"/>
        </w:rPr>
        <w:t>主要分为</w:t>
      </w:r>
      <w:r>
        <w:rPr>
          <w:rFonts w:ascii="仿宋_GB2312" w:hAnsi="宋体" w:eastAsia="仿宋_GB2312" w:cs="仿宋_GB2312"/>
          <w:color w:val="000000"/>
          <w:kern w:val="0"/>
          <w:sz w:val="32"/>
          <w:szCs w:val="32"/>
        </w:rPr>
        <w:t>：</w:t>
      </w:r>
      <w:r>
        <w:rPr>
          <w:rFonts w:hint="eastAsia" w:ascii="仿宋_GB2312" w:hAnsi="仿宋" w:eastAsia="仿宋_GB2312"/>
          <w:sz w:val="32"/>
          <w:szCs w:val="32"/>
          <w:lang w:eastAsia="zh-CN"/>
        </w:rPr>
        <w:t>土地收储及征地补偿</w:t>
      </w:r>
      <w:r>
        <w:rPr>
          <w:rFonts w:hint="eastAsia" w:ascii="仿宋_GB2312" w:hAnsi="宋体" w:eastAsia="仿宋_GB2312" w:cs="仿宋_GB2312"/>
          <w:color w:val="000000"/>
          <w:kern w:val="0"/>
          <w:sz w:val="32"/>
          <w:szCs w:val="32"/>
          <w:lang w:eastAsia="zh-CN"/>
        </w:rPr>
        <w:t>、自然资源管理等、灾害防治及应急管理、人员经费等支出。</w:t>
      </w:r>
    </w:p>
    <w:p>
      <w:pPr>
        <w:widowControl/>
        <w:ind w:firstLine="643" w:firstLineChars="200"/>
        <w:jc w:val="left"/>
      </w:pPr>
      <w:r>
        <w:rPr>
          <w:rFonts w:ascii="仿宋_GB2312" w:hAnsi="宋体" w:eastAsia="仿宋_GB2312" w:cs="仿宋_GB2312"/>
          <w:b/>
          <w:color w:val="000000"/>
          <w:kern w:val="0"/>
          <w:sz w:val="32"/>
          <w:szCs w:val="32"/>
        </w:rPr>
        <w:t xml:space="preserve">1.一般公共服务支出（类）财政事务（款）行政运行（项）。 </w:t>
      </w:r>
    </w:p>
    <w:p>
      <w:pPr>
        <w:widowControl/>
        <w:ind w:firstLine="640" w:firstLineChars="200"/>
        <w:jc w:val="left"/>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200.03014</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188.282944</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11.747196</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rPr>
        <w:t>188.282944</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37</w:t>
      </w:r>
      <w:r>
        <w:rPr>
          <w:rFonts w:hint="eastAsia" w:ascii="仿宋_GB2312" w:hAnsi="宋体" w:eastAsia="仿宋_GB2312" w:cs="仿宋_GB2312"/>
          <w:color w:val="000000"/>
          <w:kern w:val="0"/>
          <w:sz w:val="32"/>
          <w:szCs w:val="32"/>
          <w:lang w:val="en-US" w:eastAsia="zh-CN"/>
        </w:rPr>
        <w:t>.</w:t>
      </w:r>
      <w:r>
        <w:rPr>
          <w:rFonts w:hint="eastAsia" w:ascii="仿宋_GB2312" w:hAnsi="宋体" w:eastAsia="仿宋_GB2312" w:cs="仿宋_GB2312"/>
          <w:color w:val="000000"/>
          <w:kern w:val="0"/>
          <w:sz w:val="32"/>
          <w:szCs w:val="32"/>
        </w:rPr>
        <w:t>0553万元</w:t>
      </w:r>
      <w:r>
        <w:rPr>
          <w:rFonts w:hint="eastAsia" w:ascii="仿宋_GB2312" w:hAnsi="宋体" w:eastAsia="仿宋_GB2312" w:cs="仿宋_GB2312"/>
          <w:color w:val="000000"/>
          <w:kern w:val="0"/>
          <w:sz w:val="32"/>
          <w:szCs w:val="32"/>
          <w:lang w:eastAsia="zh-CN"/>
        </w:rPr>
        <w:t>，津贴补贴39</w:t>
      </w:r>
      <w:r>
        <w:rPr>
          <w:rFonts w:hint="eastAsia" w:ascii="仿宋_GB2312" w:hAnsi="宋体" w:eastAsia="仿宋_GB2312" w:cs="仿宋_GB2312"/>
          <w:color w:val="000000"/>
          <w:kern w:val="0"/>
          <w:sz w:val="32"/>
          <w:szCs w:val="32"/>
          <w:lang w:val="en-US" w:eastAsia="zh-CN"/>
        </w:rPr>
        <w:t>.</w:t>
      </w:r>
      <w:r>
        <w:rPr>
          <w:rFonts w:hint="eastAsia" w:ascii="仿宋_GB2312" w:hAnsi="宋体" w:eastAsia="仿宋_GB2312" w:cs="仿宋_GB2312"/>
          <w:color w:val="000000"/>
          <w:kern w:val="0"/>
          <w:sz w:val="32"/>
          <w:szCs w:val="32"/>
          <w:lang w:eastAsia="zh-CN"/>
        </w:rPr>
        <w:t>7798万元，奖金48</w:t>
      </w:r>
      <w:r>
        <w:rPr>
          <w:rFonts w:hint="eastAsia" w:ascii="仿宋_GB2312" w:hAnsi="宋体" w:eastAsia="仿宋_GB2312" w:cs="仿宋_GB2312"/>
          <w:color w:val="000000"/>
          <w:kern w:val="0"/>
          <w:sz w:val="32"/>
          <w:szCs w:val="32"/>
          <w:lang w:val="en-US" w:eastAsia="zh-CN"/>
        </w:rPr>
        <w:t>.</w:t>
      </w:r>
      <w:r>
        <w:rPr>
          <w:rFonts w:hint="eastAsia" w:ascii="仿宋_GB2312" w:hAnsi="宋体" w:eastAsia="仿宋_GB2312" w:cs="仿宋_GB2312"/>
          <w:color w:val="000000"/>
          <w:kern w:val="0"/>
          <w:sz w:val="32"/>
          <w:szCs w:val="32"/>
          <w:lang w:eastAsia="zh-CN"/>
        </w:rPr>
        <w:t>2491，绩效工资11</w:t>
      </w:r>
      <w:r>
        <w:rPr>
          <w:rFonts w:hint="eastAsia" w:ascii="仿宋_GB2312" w:hAnsi="宋体" w:eastAsia="仿宋_GB2312" w:cs="仿宋_GB2312"/>
          <w:color w:val="000000"/>
          <w:kern w:val="0"/>
          <w:sz w:val="32"/>
          <w:szCs w:val="32"/>
          <w:lang w:val="en-US" w:eastAsia="zh-CN"/>
        </w:rPr>
        <w:t>.</w:t>
      </w:r>
      <w:r>
        <w:rPr>
          <w:rFonts w:hint="eastAsia" w:ascii="仿宋_GB2312" w:hAnsi="宋体" w:eastAsia="仿宋_GB2312" w:cs="仿宋_GB2312"/>
          <w:color w:val="000000"/>
          <w:kern w:val="0"/>
          <w:sz w:val="32"/>
          <w:szCs w:val="32"/>
          <w:lang w:eastAsia="zh-CN"/>
        </w:rPr>
        <w:t>0938，机关事业单位基本养老保险缴费14.44292等</w:t>
      </w:r>
      <w:r>
        <w:rPr>
          <w:rFonts w:hint="eastAsia" w:ascii="仿宋_GB2312" w:hAnsi="宋体" w:eastAsia="仿宋_GB2312" w:cs="仿宋_GB2312"/>
          <w:color w:val="000000"/>
          <w:kern w:val="0"/>
          <w:sz w:val="32"/>
          <w:szCs w:val="32"/>
        </w:rPr>
        <w:t>）。</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仿宋_GB2312" w:eastAsia="仿宋_GB2312" w:cs="仿宋_GB2312"/>
          <w:color w:val="000000"/>
          <w:kern w:val="0"/>
          <w:sz w:val="31"/>
          <w:szCs w:val="31"/>
        </w:rPr>
        <w:t>11.747196</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行政单位机关运行经费）</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4.5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3.3293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83</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1.1707</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公务接待费用减少</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4.5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%。具体情况如下：</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drawing>
          <wp:inline distT="0" distB="0" distL="114300" distR="114300">
            <wp:extent cx="4321810" cy="2228850"/>
            <wp:effectExtent l="0" t="0" r="2540" b="0"/>
            <wp:docPr id="1" name="图片 1" descr="1622171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2171515(1)"/>
                    <pic:cNvPicPr>
                      <a:picLocks noChangeAspect="1"/>
                    </pic:cNvPicPr>
                  </pic:nvPicPr>
                  <pic:blipFill>
                    <a:blip r:embed="rId10"/>
                    <a:stretch>
                      <a:fillRect/>
                    </a:stretch>
                  </pic:blipFill>
                  <pic:spPr>
                    <a:xfrm>
                      <a:off x="0" y="0"/>
                      <a:ext cx="4321810" cy="2228850"/>
                    </a:xfrm>
                    <a:prstGeom prst="rect">
                      <a:avLst/>
                    </a:prstGeom>
                  </pic:spPr>
                </pic:pic>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lang w:val="en-US" w:eastAsia="zh-CN"/>
        </w:rPr>
        <w:t>2019年无因公出国（境）情况</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杨凌示范区自然资源和规划局没有公务用车</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4.5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3.3293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87</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0.6390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21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，主要原因为精文减会</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w:t>
      </w:r>
      <w:r>
        <w:rPr>
          <w:rFonts w:hint="eastAsia" w:ascii="仿宋_GB2312" w:hAnsi="仿宋_GB2312" w:eastAsia="仿宋_GB2312" w:cs="仿宋_GB2312"/>
          <w:sz w:val="32"/>
          <w:szCs w:val="32"/>
          <w:lang w:eastAsia="zh-CN"/>
        </w:rPr>
        <w:t>本年政府性基金决算收入合计132456.757291万元，主要为将直接支付单位资金纳入本单位核算，国有土地使用权出让收入。本年政府性基金支出合计132456.757291万元，主要为对应专项债务收入安排的支出、征地和拆迁补偿支出。</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r>
        <w:rPr>
          <w:rFonts w:hint="eastAsia"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216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3220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rPr>
        <w:t>组织对 2019年</w:t>
      </w:r>
      <w:r>
        <w:rPr>
          <w:rFonts w:hint="eastAsia" w:ascii="仿宋_GB2312" w:hAnsi="仿宋_GB2312" w:eastAsia="仿宋_GB2312" w:cs="仿宋_GB2312"/>
          <w:color w:val="000000"/>
          <w:kern w:val="0"/>
          <w:sz w:val="31"/>
          <w:szCs w:val="31"/>
          <w:lang w:val="en-US" w:eastAsia="zh-CN"/>
        </w:rPr>
        <w:t>1</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132456.757291</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一般公共预算财政拨款</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303</w:t>
      </w:r>
      <w:r>
        <w:rPr>
          <w:rFonts w:hint="eastAsia"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color w:val="000000"/>
          <w:kern w:val="0"/>
          <w:sz w:val="31"/>
          <w:szCs w:val="31"/>
        </w:rPr>
        <w:t>6410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416.35214</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137</w:t>
      </w:r>
      <w:r>
        <w:rPr>
          <w:rFonts w:ascii="仿宋_GB2312" w:hAnsi="仿宋_GB2312" w:eastAsia="仿宋_GB2312" w:cs="仿宋_GB2312"/>
          <w:color w:val="000000"/>
          <w:kern w:val="0"/>
          <w:sz w:val="31"/>
          <w:szCs w:val="31"/>
        </w:rPr>
        <w:t>%。主要产出和效果：通过</w:t>
      </w:r>
      <w:r>
        <w:rPr>
          <w:rFonts w:hint="eastAsia" w:ascii="仿宋_GB2312" w:hAnsi="仿宋_GB2312" w:eastAsia="仿宋_GB2312" w:cs="仿宋_GB2312"/>
          <w:color w:val="000000"/>
          <w:kern w:val="0"/>
          <w:sz w:val="31"/>
          <w:szCs w:val="31"/>
          <w:lang w:eastAsia="zh-CN"/>
        </w:rPr>
        <w:t>自然资源</w:t>
      </w:r>
      <w:r>
        <w:rPr>
          <w:rFonts w:ascii="仿宋_GB2312" w:hAnsi="仿宋_GB2312" w:eastAsia="仿宋_GB2312" w:cs="仿宋_GB2312"/>
          <w:color w:val="000000"/>
          <w:kern w:val="0"/>
          <w:sz w:val="31"/>
          <w:szCs w:val="31"/>
        </w:rPr>
        <w:t>项目实施</w:t>
      </w:r>
      <w:r>
        <w:rPr>
          <w:rFonts w:hint="eastAsia" w:ascii="仿宋_GB2312" w:hAnsi="仿宋_GB2312" w:eastAsia="仿宋_GB2312" w:cs="仿宋_GB2312"/>
          <w:color w:val="000000"/>
          <w:kern w:val="0"/>
          <w:sz w:val="31"/>
          <w:szCs w:val="31"/>
          <w:lang w:eastAsia="zh-CN"/>
        </w:rPr>
        <w:t>项目及省级资金拨付预算收入</w:t>
      </w:r>
      <w:r>
        <w:rPr>
          <w:rFonts w:hint="eastAsia" w:ascii="仿宋_GB2312" w:hAnsi="仿宋_GB2312" w:eastAsia="仿宋_GB2312" w:cs="仿宋_GB2312"/>
          <w:color w:val="000000"/>
          <w:kern w:val="0"/>
          <w:sz w:val="31"/>
          <w:szCs w:val="31"/>
          <w:lang w:val="en-US" w:eastAsia="zh-CN"/>
        </w:rPr>
        <w:t>增加</w:t>
      </w:r>
      <w:r>
        <w:rPr>
          <w:rFonts w:hint="eastAsia" w:ascii="仿宋_GB2312" w:hAnsi="仿宋_GB2312" w:eastAsia="仿宋_GB2312" w:cs="仿宋_GB2312"/>
          <w:color w:val="000000"/>
          <w:kern w:val="0"/>
          <w:sz w:val="31"/>
          <w:szCs w:val="31"/>
        </w:rPr>
        <w:t>。</w:t>
      </w:r>
    </w:p>
    <w:p>
      <w:pPr>
        <w:widowControl/>
        <w:ind w:firstLine="620" w:firstLineChars="200"/>
        <w:jc w:val="center"/>
        <w:rPr>
          <w:rFonts w:hint="eastAsia" w:ascii="仿宋_GB2312" w:hAnsi="仿宋_GB2312" w:eastAsia="仿宋_GB2312" w:cs="仿宋_GB2312"/>
          <w:color w:val="000000"/>
          <w:kern w:val="0"/>
          <w:sz w:val="31"/>
          <w:szCs w:val="31"/>
        </w:rPr>
      </w:pPr>
    </w:p>
    <w:p>
      <w:pPr>
        <w:widowControl/>
        <w:ind w:firstLine="620" w:firstLineChars="200"/>
        <w:jc w:val="left"/>
        <w:rPr>
          <w:rFonts w:hint="eastAsia"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rPr>
        <w:t>基本支出</w:t>
      </w:r>
      <w:r>
        <w:rPr>
          <w:rFonts w:hint="eastAsia" w:ascii="仿宋_GB2312" w:hAnsi="仿宋_GB2312" w:eastAsia="仿宋_GB2312" w:cs="仿宋_GB2312"/>
          <w:color w:val="000000"/>
          <w:kern w:val="0"/>
          <w:sz w:val="31"/>
          <w:szCs w:val="31"/>
          <w:lang w:eastAsia="zh-CN"/>
        </w:rPr>
        <w:t>本年度221</w:t>
      </w:r>
      <w:r>
        <w:rPr>
          <w:rFonts w:hint="eastAsia"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color w:val="000000"/>
          <w:kern w:val="0"/>
          <w:sz w:val="31"/>
          <w:szCs w:val="31"/>
          <w:lang w:eastAsia="zh-CN"/>
        </w:rPr>
        <w:t>317608万元，上年度254</w:t>
      </w:r>
      <w:r>
        <w:rPr>
          <w:rFonts w:hint="eastAsia"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color w:val="000000"/>
          <w:kern w:val="0"/>
          <w:sz w:val="31"/>
          <w:szCs w:val="31"/>
          <w:lang w:eastAsia="zh-CN"/>
        </w:rPr>
        <w:t>569225万元，比上年减少33</w:t>
      </w:r>
      <w:r>
        <w:rPr>
          <w:rFonts w:hint="eastAsia"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color w:val="000000"/>
          <w:kern w:val="0"/>
          <w:sz w:val="31"/>
          <w:szCs w:val="31"/>
          <w:lang w:eastAsia="zh-CN"/>
        </w:rPr>
        <w:t>251617万元，减少</w:t>
      </w:r>
      <w:r>
        <w:rPr>
          <w:rFonts w:hint="eastAsia" w:ascii="仿宋_GB2312" w:hAnsi="仿宋_GB2312" w:eastAsia="仿宋_GB2312" w:cs="仿宋_GB2312"/>
          <w:color w:val="000000"/>
          <w:kern w:val="0"/>
          <w:sz w:val="31"/>
          <w:szCs w:val="31"/>
          <w:lang w:val="en-US" w:eastAsia="zh-CN"/>
        </w:rPr>
        <w:t>13%。主要原因为例行节约。</w:t>
      </w:r>
    </w:p>
    <w:p>
      <w:pPr>
        <w:jc w:val="center"/>
        <w:rPr>
          <w:rFonts w:ascii="楷体" w:hAnsi="楷体" w:eastAsia="楷体" w:cs="楷体"/>
          <w:sz w:val="32"/>
          <w:szCs w:val="32"/>
        </w:rPr>
      </w:pPr>
    </w:p>
    <w:p>
      <w:pPr>
        <w:widowControl/>
        <w:ind w:firstLine="640" w:firstLineChars="200"/>
        <w:jc w:val="center"/>
        <w:rPr>
          <w:rFonts w:hint="eastAsia" w:ascii="仿宋_GB2312" w:hAnsi="仿宋_GB2312" w:eastAsia="仿宋_GB2312" w:cs="仿宋_GB2312"/>
          <w:color w:val="000000"/>
          <w:kern w:val="0"/>
          <w:sz w:val="31"/>
          <w:szCs w:val="31"/>
          <w:lang w:val="en-US" w:eastAsia="zh-CN"/>
        </w:rPr>
      </w:pPr>
      <w:bookmarkStart w:id="0" w:name="_MON_1683727307"/>
      <w:bookmarkEnd w:id="0"/>
      <w:r>
        <w:rPr>
          <w:rFonts w:hint="eastAsia" w:ascii="楷体" w:hAnsi="楷体" w:eastAsia="楷体" w:cs="楷体"/>
          <w:sz w:val="32"/>
          <w:szCs w:val="32"/>
        </w:rPr>
        <w:object>
          <v:shape id="_x0000_i1025" o:spt="75" alt="" type="#_x0000_t75" style="height:643.65pt;width:409.4pt;" o:ole="t" filled="f" o:preferrelative="t" stroked="f" coordsize="21600,21600">
            <v:path/>
            <v:fill on="f" focussize="0,0"/>
            <v:stroke on="f"/>
            <v:imagedata r:id="rId12" o:title=""/>
            <o:lock v:ext="edit" aspectratio="t"/>
            <w10:wrap type="none"/>
            <w10:anchorlock/>
          </v:shape>
          <o:OLEObject Type="Embed" ProgID="Excel.Sheet.8" ShapeID="_x0000_i1025" DrawAspect="Content" ObjectID="_1468075725" r:id="rId11">
            <o:LockedField>false</o:LockedField>
          </o:OLEObject>
        </w:object>
      </w:r>
    </w:p>
    <w:p>
      <w:pPr>
        <w:widowControl/>
        <w:ind w:firstLine="620" w:firstLineChars="200"/>
        <w:jc w:val="left"/>
        <w:rPr>
          <w:rFonts w:hint="eastAsia" w:ascii="仿宋_GB2312" w:hAnsi="仿宋_GB2312" w:eastAsia="仿宋_GB2312" w:cs="仿宋_GB2312"/>
          <w:color w:val="000000"/>
          <w:kern w:val="0"/>
          <w:sz w:val="31"/>
          <w:szCs w:val="31"/>
          <w:lang w:val="en-US" w:eastAsia="zh-CN"/>
        </w:rPr>
        <w:sectPr>
          <w:pgSz w:w="11906" w:h="16838"/>
          <w:pgMar w:top="1985" w:right="1588" w:bottom="2098" w:left="1474" w:header="851" w:footer="992" w:gutter="0"/>
          <w:cols w:space="0" w:num="1"/>
          <w:docGrid w:type="lines" w:linePitch="315" w:charSpace="0"/>
        </w:sectPr>
      </w:pPr>
      <w:bookmarkStart w:id="1" w:name="_GoBack"/>
      <w:bookmarkEnd w:id="1"/>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16.05pt;width:631.65pt;" o:ole="t" filled="f" o:preferrelative="t" stroked="f" coordsize="21600,21600">
            <v:path/>
            <v:fill on="f" focussize="0,0"/>
            <v:stroke on="f"/>
            <v:imagedata r:id="rId14" o:title=""/>
            <o:lock v:ext="edit" aspectratio="t"/>
            <w10:wrap type="none"/>
            <w10:anchorlock/>
          </v:shape>
          <o:OLEObject Type="Embed" ProgID="Excel.Sheet.8" ShapeID="_x0000_i1026" DrawAspect="Content" ObjectID="_1468075726" r:id="rId13">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7.4pt;" o:ole="t" filled="f" o:preferrelative="t" stroked="f" coordsize="21600,21600">
            <v:path/>
            <v:fill on="f" focussize="0,0"/>
            <v:stroke on="f"/>
            <v:imagedata r:id="rId16" o:title=""/>
            <o:lock v:ext="edit" aspectratio="t"/>
            <w10:wrap type="none"/>
            <w10:anchorlock/>
          </v:shape>
          <o:OLEObject Type="Embed" ProgID="Excel.Sheet.8" ShapeID="_x0000_i1027" DrawAspect="Content" ObjectID="_1468075727" r:id="rId15">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4.25pt;" o:ole="t" filled="f" o:preferrelative="t" stroked="f" coordsize="21600,21600">
            <v:path/>
            <v:fill on="f" focussize="0,0"/>
            <v:stroke on="f"/>
            <v:imagedata r:id="rId18" o:title=""/>
            <o:lock v:ext="edit" aspectratio="t"/>
            <w10:wrap type="none"/>
            <w10:anchorlock/>
          </v:shape>
          <o:OLEObject Type="Embed" ProgID="Excel.Sheet.8" ShapeID="_x0000_i1028" DrawAspect="Content" ObjectID="_1468075728" r:id="rId17">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11.747196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11.747196</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eastAsia="zh-CN"/>
        </w:rPr>
        <w:t>持平</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年中调整预算</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2019年本部门政府采购支出总额共188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3437万元，其中政府采购货物类支出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万元、政府采购工程类支出140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3437万元。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07717B"/>
    <w:rsid w:val="00146787"/>
    <w:rsid w:val="00164001"/>
    <w:rsid w:val="001D7568"/>
    <w:rsid w:val="002424C8"/>
    <w:rsid w:val="002A7893"/>
    <w:rsid w:val="003364E9"/>
    <w:rsid w:val="00452E2E"/>
    <w:rsid w:val="004B6D6E"/>
    <w:rsid w:val="00645631"/>
    <w:rsid w:val="00712CE7"/>
    <w:rsid w:val="00813F4A"/>
    <w:rsid w:val="00824FE8"/>
    <w:rsid w:val="009236FC"/>
    <w:rsid w:val="00927FF8"/>
    <w:rsid w:val="00A23599"/>
    <w:rsid w:val="00B80654"/>
    <w:rsid w:val="00B95021"/>
    <w:rsid w:val="00E8111E"/>
    <w:rsid w:val="00EA44A9"/>
    <w:rsid w:val="013B79AC"/>
    <w:rsid w:val="01B0327D"/>
    <w:rsid w:val="04240F48"/>
    <w:rsid w:val="05B16BE6"/>
    <w:rsid w:val="0BEC67DA"/>
    <w:rsid w:val="0E0D2D22"/>
    <w:rsid w:val="11F03755"/>
    <w:rsid w:val="125E2600"/>
    <w:rsid w:val="12E0345B"/>
    <w:rsid w:val="132E46A0"/>
    <w:rsid w:val="14411117"/>
    <w:rsid w:val="1586116E"/>
    <w:rsid w:val="17BC59BC"/>
    <w:rsid w:val="18AC5505"/>
    <w:rsid w:val="18BB4AD7"/>
    <w:rsid w:val="1B4A3FDA"/>
    <w:rsid w:val="1B524C98"/>
    <w:rsid w:val="1C5E2F73"/>
    <w:rsid w:val="1D6E0C0D"/>
    <w:rsid w:val="1DA5251C"/>
    <w:rsid w:val="1E4F15D9"/>
    <w:rsid w:val="1EF13AE0"/>
    <w:rsid w:val="202C0BD9"/>
    <w:rsid w:val="221C15BB"/>
    <w:rsid w:val="231D7041"/>
    <w:rsid w:val="2415360E"/>
    <w:rsid w:val="25342D4C"/>
    <w:rsid w:val="27110F90"/>
    <w:rsid w:val="28232EF0"/>
    <w:rsid w:val="29785A6B"/>
    <w:rsid w:val="2AD11C0C"/>
    <w:rsid w:val="2AFD7292"/>
    <w:rsid w:val="2D1F3974"/>
    <w:rsid w:val="2DB52EF2"/>
    <w:rsid w:val="2EFB22AA"/>
    <w:rsid w:val="310E53F8"/>
    <w:rsid w:val="31AA6038"/>
    <w:rsid w:val="33887EE3"/>
    <w:rsid w:val="33F211CD"/>
    <w:rsid w:val="34677C61"/>
    <w:rsid w:val="35331CD6"/>
    <w:rsid w:val="36BB5674"/>
    <w:rsid w:val="37D859C1"/>
    <w:rsid w:val="380C5E4C"/>
    <w:rsid w:val="381F277B"/>
    <w:rsid w:val="3B121AD1"/>
    <w:rsid w:val="3CFD0D2E"/>
    <w:rsid w:val="41603979"/>
    <w:rsid w:val="418739FF"/>
    <w:rsid w:val="41CF436B"/>
    <w:rsid w:val="43BA4AF5"/>
    <w:rsid w:val="44ED4018"/>
    <w:rsid w:val="4619368A"/>
    <w:rsid w:val="472D1A3F"/>
    <w:rsid w:val="4B261141"/>
    <w:rsid w:val="4CCD3712"/>
    <w:rsid w:val="4D293282"/>
    <w:rsid w:val="4D6E0FDF"/>
    <w:rsid w:val="4EE4307A"/>
    <w:rsid w:val="5086221E"/>
    <w:rsid w:val="51194BE5"/>
    <w:rsid w:val="5153143F"/>
    <w:rsid w:val="5340035F"/>
    <w:rsid w:val="54F12DEE"/>
    <w:rsid w:val="55171EAF"/>
    <w:rsid w:val="56417921"/>
    <w:rsid w:val="58E937E3"/>
    <w:rsid w:val="5A115B14"/>
    <w:rsid w:val="5ADF0933"/>
    <w:rsid w:val="5B8D564A"/>
    <w:rsid w:val="5FE7583D"/>
    <w:rsid w:val="62B971CD"/>
    <w:rsid w:val="6352114E"/>
    <w:rsid w:val="65074FBA"/>
    <w:rsid w:val="66A754F2"/>
    <w:rsid w:val="68BC7B17"/>
    <w:rsid w:val="68C705CA"/>
    <w:rsid w:val="6A897FE8"/>
    <w:rsid w:val="6B050C26"/>
    <w:rsid w:val="6B22055D"/>
    <w:rsid w:val="6EA6091F"/>
    <w:rsid w:val="6F410315"/>
    <w:rsid w:val="6FE00163"/>
    <w:rsid w:val="71086DB5"/>
    <w:rsid w:val="71D567EB"/>
    <w:rsid w:val="75C31473"/>
    <w:rsid w:val="77B76BF1"/>
    <w:rsid w:val="7A1C0F15"/>
    <w:rsid w:val="7C3E5E46"/>
    <w:rsid w:val="7E1C4BB2"/>
    <w:rsid w:val="7E2F70DD"/>
    <w:rsid w:val="7E3E4712"/>
    <w:rsid w:val="7E5B1131"/>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emf"/><Relationship Id="rId17" Type="http://schemas.openxmlformats.org/officeDocument/2006/relationships/oleObject" Target="embeddings/oleObject4.bin"/><Relationship Id="rId16" Type="http://schemas.openxmlformats.org/officeDocument/2006/relationships/image" Target="media/image4.emf"/><Relationship Id="rId15" Type="http://schemas.openxmlformats.org/officeDocument/2006/relationships/oleObject" Target="embeddings/oleObject3.bin"/><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'[新建 XLS 工作表.xls]Sheet1'!$B$1:$D$1</c:f>
              <c:strCache>
                <c:ptCount val="3"/>
                <c:pt idx="0">
                  <c:v>行政</c:v>
                </c:pt>
                <c:pt idx="1">
                  <c:v>事业</c:v>
                </c:pt>
                <c:pt idx="2">
                  <c:v>空编</c:v>
                </c:pt>
              </c:strCache>
            </c:strRef>
          </c:cat>
          <c:val>
            <c:numRef>
              <c:f>'[新建 XLS 工作表.xls]Sheet1'!$B$2:$D$2</c:f>
              <c:numCache>
                <c:formatCode>General</c:formatCode>
                <c:ptCount val="3"/>
                <c:pt idx="0">
                  <c:v>4</c:v>
                </c:pt>
                <c:pt idx="1">
                  <c:v>5</c:v>
                </c:pt>
                <c:pt idx="2">
                  <c:v>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收入决算对比图（单位：元）</a:t>
            </a:r>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delete val="1"/>
          </c:dLbls>
          <c:cat>
            <c:strRef>
              <c:f>'[新建 XLS 工作表.xls]Sheet1'!$F$2:$F$4</c:f>
              <c:strCache>
                <c:ptCount val="3"/>
                <c:pt idx="0">
                  <c:v>2018年度</c:v>
                </c:pt>
                <c:pt idx="1">
                  <c:v>2019年度</c:v>
                </c:pt>
                <c:pt idx="2">
                  <c:v>增加</c:v>
                </c:pt>
              </c:strCache>
            </c:strRef>
          </c:cat>
          <c:val>
            <c:numRef>
              <c:f>'[新建 XLS 工作表.xls]Sheet1'!$G$2:$G$4</c:f>
              <c:numCache>
                <c:formatCode>#,##0.00_ </c:formatCode>
                <c:ptCount val="3"/>
                <c:pt idx="0">
                  <c:v>1323730468.99</c:v>
                </c:pt>
                <c:pt idx="1">
                  <c:v>1328943968.99</c:v>
                </c:pt>
                <c:pt idx="2">
                  <c:v>5213500</c:v>
                </c:pt>
              </c:numCache>
            </c:numRef>
          </c:val>
        </c:ser>
        <c:dLbls>
          <c:showLegendKey val="0"/>
          <c:showVal val="0"/>
          <c:showCatName val="0"/>
          <c:showSerName val="0"/>
          <c:showPercent val="0"/>
          <c:showBubbleSize val="0"/>
        </c:dLbls>
        <c:gapWidth val="150"/>
        <c:overlap val="100"/>
        <c:axId val="409112814"/>
        <c:axId val="496096360"/>
      </c:barChart>
      <c:catAx>
        <c:axId val="4091128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6096360"/>
        <c:crosses val="autoZero"/>
        <c:auto val="1"/>
        <c:lblAlgn val="ctr"/>
        <c:lblOffset val="100"/>
        <c:noMultiLvlLbl val="0"/>
      </c:catAx>
      <c:valAx>
        <c:axId val="49609636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911281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支出决算对比图（单位：元）</a:t>
            </a:r>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delete val="1"/>
          </c:dLbls>
          <c:cat>
            <c:strRef>
              <c:f>'[新建 XLS 工作表.xls]Sheet1'!$F$2:$F$4</c:f>
              <c:strCache>
                <c:ptCount val="3"/>
                <c:pt idx="0">
                  <c:v>2018年度</c:v>
                </c:pt>
                <c:pt idx="1">
                  <c:v>2019年度</c:v>
                </c:pt>
                <c:pt idx="2">
                  <c:v>增加</c:v>
                </c:pt>
              </c:strCache>
            </c:strRef>
          </c:cat>
          <c:val>
            <c:numRef>
              <c:f>'[新建 XLS 工作表.xls]Sheet1'!$G$2:$G$4</c:f>
              <c:numCache>
                <c:formatCode>#,##0.00_ </c:formatCode>
                <c:ptCount val="3"/>
                <c:pt idx="0">
                  <c:v>4399800</c:v>
                </c:pt>
                <c:pt idx="1">
                  <c:v>1324567572.91</c:v>
                </c:pt>
                <c:pt idx="2">
                  <c:v>1320167772.91</c:v>
                </c:pt>
              </c:numCache>
            </c:numRef>
          </c:val>
        </c:ser>
        <c:dLbls>
          <c:showLegendKey val="0"/>
          <c:showVal val="0"/>
          <c:showCatName val="0"/>
          <c:showSerName val="0"/>
          <c:showPercent val="0"/>
          <c:showBubbleSize val="0"/>
        </c:dLbls>
        <c:gapWidth val="150"/>
        <c:overlap val="100"/>
        <c:axId val="409112814"/>
        <c:axId val="496096360"/>
      </c:barChart>
      <c:catAx>
        <c:axId val="4091128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6096360"/>
        <c:crosses val="autoZero"/>
        <c:auto val="1"/>
        <c:lblAlgn val="ctr"/>
        <c:lblOffset val="100"/>
        <c:noMultiLvlLbl val="0"/>
      </c:catAx>
      <c:valAx>
        <c:axId val="49609636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911281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'[新建 XLS 工作表.xls]Sheet1'!$F$36:$F$38</c:f>
              <c:strCache>
                <c:ptCount val="3"/>
                <c:pt idx="0">
                  <c:v>财政拨款收入</c:v>
                </c:pt>
                <c:pt idx="1">
                  <c:v>公共预算财政拨款收入</c:v>
                </c:pt>
                <c:pt idx="2">
                  <c:v>其他收入</c:v>
                </c:pt>
              </c:strCache>
            </c:strRef>
          </c:cat>
          <c:val>
            <c:numRef>
              <c:f>'[新建 XLS 工作表.xls]Sheet1'!$G$36:$G$38</c:f>
              <c:numCache>
                <c:formatCode>0.00%</c:formatCode>
                <c:ptCount val="3"/>
                <c:pt idx="0">
                  <c:v>0.996</c:v>
                </c:pt>
                <c:pt idx="1">
                  <c:v>0.00031</c:v>
                </c:pt>
                <c:pt idx="2">
                  <c:v>9e-5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'[新建 XLS 工作表.xls]Sheet1'!$F$36:$F$37</c:f>
              <c:strCache>
                <c:ptCount val="2"/>
                <c:pt idx="0">
                  <c:v>基本支出</c:v>
                </c:pt>
                <c:pt idx="1">
                  <c:v>项目支出</c:v>
                </c:pt>
              </c:strCache>
            </c:strRef>
          </c:cat>
          <c:val>
            <c:numRef>
              <c:f>'[新建 XLS 工作表.xls]Sheet1'!$G$36:$G$37</c:f>
              <c:numCache>
                <c:formatCode>0.00%</c:formatCode>
                <c:ptCount val="2"/>
                <c:pt idx="0">
                  <c:v>1.7e-5</c:v>
                </c:pt>
                <c:pt idx="1">
                  <c:v>0.9983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财政拨款支出对比图（单位：元）</a:t>
            </a:r>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delete val="1"/>
          </c:dLbls>
          <c:cat>
            <c:strRef>
              <c:f>'[新建 XLS 工作表.xls]Sheet1'!$F$62:$F$63</c:f>
              <c:strCache>
                <c:ptCount val="2"/>
                <c:pt idx="0">
                  <c:v>2019年度</c:v>
                </c:pt>
                <c:pt idx="1">
                  <c:v>2018年度</c:v>
                </c:pt>
              </c:strCache>
            </c:strRef>
          </c:cat>
          <c:val>
            <c:numRef>
              <c:f>'[新建 XLS 工作表.xls]Sheet1'!$G$62:$G$63</c:f>
              <c:numCache>
                <c:formatCode>#,##0.00_ </c:formatCode>
                <c:ptCount val="2"/>
                <c:pt idx="0">
                  <c:v>1328616261.57</c:v>
                </c:pt>
                <c:pt idx="1">
                  <c:v>521350</c:v>
                </c:pt>
              </c:numCache>
            </c:numRef>
          </c:val>
        </c:ser>
        <c:dLbls>
          <c:showLegendKey val="0"/>
          <c:showVal val="0"/>
          <c:showCatName val="0"/>
          <c:showSerName val="0"/>
          <c:showPercent val="0"/>
          <c:showBubbleSize val="0"/>
        </c:dLbls>
        <c:gapWidth val="150"/>
        <c:overlap val="100"/>
        <c:axId val="437931848"/>
        <c:axId val="16504546"/>
      </c:barChart>
      <c:catAx>
        <c:axId val="4379318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04546"/>
        <c:crosses val="autoZero"/>
        <c:auto val="1"/>
        <c:lblAlgn val="ctr"/>
        <c:lblOffset val="100"/>
        <c:noMultiLvlLbl val="0"/>
      </c:catAx>
      <c:valAx>
        <c:axId val="16504546"/>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7931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ABCD8-468A-443E-A7D4-08EDDBC8074E}">
  <ds:schemaRefs/>
</ds:datastoreItem>
</file>

<file path=docProps/app.xml><?xml version="1.0" encoding="utf-8"?>
<Properties xmlns="http://schemas.openxmlformats.org/officeDocument/2006/extended-properties" xmlns:vt="http://schemas.openxmlformats.org/officeDocument/2006/docPropsVTypes">
  <Template>Normal</Template>
  <Pages>32</Pages>
  <Words>1711</Words>
  <Characters>9754</Characters>
  <Lines>81</Lines>
  <Paragraphs>22</Paragraphs>
  <TotalTime>1</TotalTime>
  <ScaleCrop>false</ScaleCrop>
  <LinksUpToDate>false</LinksUpToDate>
  <CharactersWithSpaces>11443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夏有凉风BESOS</cp:lastModifiedBy>
  <cp:lastPrinted>2020-07-28T02:12:00Z</cp:lastPrinted>
  <dcterms:modified xsi:type="dcterms:W3CDTF">2021-05-31T02:14:18Z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2751016B13AE4683B2CF67207E43D305</vt:lpwstr>
  </property>
</Properties>
</file>